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6D9" w:rsidRPr="0099768D" w:rsidRDefault="00FD5292" w:rsidP="00581680">
      <w:pPr>
        <w:pStyle w:val="Title"/>
      </w:pPr>
      <w:bookmarkStart w:id="0" w:name="_Hlk204868553"/>
      <w:bookmarkEnd w:id="0"/>
      <w:r>
        <w:t>Therma</w:t>
      </w:r>
      <w:r w:rsidR="007331B8">
        <w:t>l analysis of Ampreg-21 Epoxy and Bi composite material using the Cone Calorimeter</w:t>
      </w:r>
    </w:p>
    <w:p w:rsidR="007836D9" w:rsidRPr="0099768D" w:rsidRDefault="007331B8" w:rsidP="00652929">
      <w:pPr>
        <w:pStyle w:val="Authornames"/>
      </w:pPr>
      <w:r>
        <w:t>Hlongwane Moses</w:t>
      </w:r>
      <w:r w:rsidR="007836D9" w:rsidRPr="0099768D">
        <w:rPr>
          <w:vertAlign w:val="superscript"/>
        </w:rPr>
        <w:t>1</w:t>
      </w:r>
      <w:r w:rsidR="007836D9" w:rsidRPr="0099768D">
        <w:t xml:space="preserve">, </w:t>
      </w:r>
      <w:r>
        <w:t>Mokoana Vincent</w:t>
      </w:r>
      <w:r>
        <w:rPr>
          <w:vertAlign w:val="superscript"/>
        </w:rPr>
        <w:t>1</w:t>
      </w:r>
      <w:r w:rsidR="007836D9" w:rsidRPr="0099768D">
        <w:t xml:space="preserve"> and A</w:t>
      </w:r>
      <w:r>
        <w:t>sante</w:t>
      </w:r>
      <w:r w:rsidR="007836D9" w:rsidRPr="0099768D">
        <w:t xml:space="preserve"> </w:t>
      </w:r>
      <w:r>
        <w:t>Joseph</w:t>
      </w:r>
      <w:r w:rsidR="007836D9" w:rsidRPr="0099768D">
        <w:rPr>
          <w:vertAlign w:val="superscript"/>
        </w:rPr>
        <w:t>1</w:t>
      </w:r>
    </w:p>
    <w:p w:rsidR="00553633" w:rsidRPr="0099768D" w:rsidRDefault="007836D9" w:rsidP="00EC5BA2">
      <w:pPr>
        <w:pStyle w:val="Affiliation"/>
      </w:pPr>
      <w:r w:rsidRPr="0099768D">
        <w:rPr>
          <w:vertAlign w:val="superscript"/>
        </w:rPr>
        <w:t>1</w:t>
      </w:r>
      <w:r w:rsidRPr="0099768D">
        <w:t>Department</w:t>
      </w:r>
      <w:r w:rsidR="007331B8">
        <w:t xml:space="preserve"> of Physics</w:t>
      </w:r>
      <w:r w:rsidRPr="0099768D">
        <w:t>,</w:t>
      </w:r>
      <w:r w:rsidRPr="0099768D">
        <w:rPr>
          <w:spacing w:val="-5"/>
        </w:rPr>
        <w:t xml:space="preserve"> </w:t>
      </w:r>
      <w:r w:rsidR="007331B8">
        <w:rPr>
          <w:spacing w:val="-5"/>
        </w:rPr>
        <w:t>Tshwane University of Technology</w:t>
      </w:r>
      <w:r w:rsidRPr="0099768D">
        <w:t>,</w:t>
      </w:r>
      <w:r w:rsidRPr="0099768D">
        <w:rPr>
          <w:spacing w:val="-4"/>
        </w:rPr>
        <w:t xml:space="preserve"> </w:t>
      </w:r>
      <w:r w:rsidR="007331B8">
        <w:t>Pretoria</w:t>
      </w:r>
      <w:r w:rsidRPr="0099768D">
        <w:t>,</w:t>
      </w:r>
      <w:r w:rsidRPr="0099768D">
        <w:rPr>
          <w:spacing w:val="-4"/>
        </w:rPr>
        <w:t xml:space="preserve"> </w:t>
      </w:r>
      <w:r w:rsidR="007331B8">
        <w:rPr>
          <w:spacing w:val="-4"/>
        </w:rPr>
        <w:t>South Africa</w:t>
      </w:r>
    </w:p>
    <w:p w:rsidR="00D05EF3" w:rsidRPr="006021E3" w:rsidRDefault="00D05EF3" w:rsidP="006B12C7">
      <w:pPr>
        <w:pStyle w:val="Correspondencedetails"/>
      </w:pPr>
      <w:r w:rsidRPr="0099768D">
        <w:t xml:space="preserve">E-mail: </w:t>
      </w:r>
      <w:r w:rsidR="007331B8">
        <w:t>Asantejko</w:t>
      </w:r>
      <w:r w:rsidRPr="00DB6FFA">
        <w:rPr>
          <w:rStyle w:val="Hyperlink"/>
        </w:rPr>
        <w:t>@</w:t>
      </w:r>
      <w:r w:rsidR="007331B8">
        <w:rPr>
          <w:rStyle w:val="Hyperlink"/>
        </w:rPr>
        <w:t>tut.ac.za</w:t>
      </w:r>
      <w:r w:rsidR="007D54EB" w:rsidRPr="00BF56CB">
        <w:rPr>
          <w:rStyle w:val="Hyperlink"/>
          <w:lang w:val="en-ZA"/>
        </w:rPr>
        <w:t xml:space="preserve"> </w:t>
      </w:r>
      <w:r w:rsidR="009C4E9F" w:rsidRPr="006021E3">
        <w:t xml:space="preserve"> </w:t>
      </w:r>
      <w:r w:rsidR="0076624F" w:rsidRPr="006021E3">
        <w:t xml:space="preserve"> </w:t>
      </w:r>
    </w:p>
    <w:p w:rsidR="001330A5" w:rsidRDefault="007836D9" w:rsidP="00EC5BA2">
      <w:pPr>
        <w:pStyle w:val="Abstract"/>
      </w:pPr>
      <w:r w:rsidRPr="0099768D">
        <w:rPr>
          <w:b/>
        </w:rPr>
        <w:t>Abstract.</w:t>
      </w:r>
      <w:r w:rsidRPr="0099768D">
        <w:rPr>
          <w:b/>
          <w:spacing w:val="80"/>
        </w:rPr>
        <w:t xml:space="preserve"> </w:t>
      </w:r>
      <w:r w:rsidR="007331B8" w:rsidRPr="00301458">
        <w:rPr>
          <w:lang w:val="en-GB"/>
        </w:rPr>
        <w:t xml:space="preserve">Organic polymers with inorganic reinforced composites are in daily use both domestically and industrially - in coating, adhesives, primers, </w:t>
      </w:r>
      <w:r w:rsidR="007331B8" w:rsidRPr="00301458">
        <w:rPr>
          <w:lang w:val="en-ZA"/>
        </w:rPr>
        <w:t>aeronautic utilities, electro-optical devices and sensors</w:t>
      </w:r>
      <w:r w:rsidR="007331B8" w:rsidRPr="00301458">
        <w:rPr>
          <w:lang w:val="en-GB"/>
        </w:rPr>
        <w:t>, among others</w:t>
      </w:r>
      <w:r w:rsidR="00116555">
        <w:rPr>
          <w:lang w:val="en-GB"/>
        </w:rPr>
        <w:t xml:space="preserve">. </w:t>
      </w:r>
      <w:r w:rsidR="00116555" w:rsidRPr="00301458">
        <w:rPr>
          <w:lang w:val="en-GB"/>
        </w:rPr>
        <w:t>These polymer-based materials are competing with metallic alloys in terms of cost and functionality (durability, strength, and other physical and chemical properties). However, the effect of heat on some of these polymer-based composites, brings some undesirable changes that affect product functionality.</w:t>
      </w:r>
      <w:r w:rsidR="00116555">
        <w:rPr>
          <w:lang w:val="en-GB"/>
        </w:rPr>
        <w:t xml:space="preserve"> </w:t>
      </w:r>
      <w:r w:rsidR="00116555" w:rsidRPr="00301458">
        <w:rPr>
          <w:lang w:val="en-GB"/>
        </w:rPr>
        <w:t xml:space="preserve">In addition, inorganic additives to organic epoxy resin have shown promising flame-retardant effects and increasing electrical conductivity. One particular epoxy polymer, </w:t>
      </w:r>
      <w:proofErr w:type="spellStart"/>
      <w:r w:rsidR="00116555" w:rsidRPr="00301458">
        <w:rPr>
          <w:lang w:val="en-GB"/>
        </w:rPr>
        <w:t>Ampreg</w:t>
      </w:r>
      <w:proofErr w:type="spellEnd"/>
      <w:r w:rsidR="00116555" w:rsidRPr="00301458">
        <w:rPr>
          <w:lang w:val="en-GB"/>
        </w:rPr>
        <w:t xml:space="preserve"> 21</w:t>
      </w:r>
      <w:r w:rsidR="00116555" w:rsidRPr="00301458">
        <w:rPr>
          <w:vertAlign w:val="superscript"/>
          <w:lang w:val="en-GB"/>
        </w:rPr>
        <w:t>TM</w:t>
      </w:r>
      <w:r w:rsidR="00116555" w:rsidRPr="00301458">
        <w:rPr>
          <w:lang w:val="en-GB"/>
        </w:rPr>
        <w:t>, with Bi inorganic fillers of different weight percentages (0; 0.46; 0.90; and 1.3</w:t>
      </w:r>
      <w:r w:rsidR="00225F1A">
        <w:rPr>
          <w:lang w:val="en-GB"/>
        </w:rPr>
        <w:t>8</w:t>
      </w:r>
      <w:r w:rsidR="00116555" w:rsidRPr="00301458">
        <w:rPr>
          <w:lang w:val="en-GB"/>
        </w:rPr>
        <w:t xml:space="preserve"> </w:t>
      </w:r>
      <w:proofErr w:type="spellStart"/>
      <w:r w:rsidR="00116555" w:rsidRPr="00301458">
        <w:rPr>
          <w:lang w:val="en-GB"/>
        </w:rPr>
        <w:t>wt</w:t>
      </w:r>
      <w:proofErr w:type="spellEnd"/>
      <w:r w:rsidR="00116555" w:rsidRPr="00301458">
        <w:rPr>
          <w:lang w:val="en-GB"/>
        </w:rPr>
        <w:t>%) was the focus of this study. The Dual Cone Calorimeter was set to irradiate the samples with 35 and 50 kW/m</w:t>
      </w:r>
      <w:r w:rsidR="00116555" w:rsidRPr="00301458">
        <w:rPr>
          <w:vertAlign w:val="superscript"/>
          <w:lang w:val="en-GB"/>
        </w:rPr>
        <w:t>2</w:t>
      </w:r>
      <w:r w:rsidR="00116555" w:rsidRPr="00301458">
        <w:rPr>
          <w:lang w:val="en-GB"/>
        </w:rPr>
        <w:t xml:space="preserve"> external heat fluxes, yielding the thermal performances of the binary composites in terms of: the heat release rate (HRR), fire spread index (FIGRA), smoke release rate (SPR), smoke spread index (SMOGRA), time-to-ignition (TTI), and the </w:t>
      </w:r>
      <w:r w:rsidR="00116555" w:rsidRPr="00301458">
        <w:rPr>
          <w:lang w:val="en-ZA"/>
        </w:rPr>
        <w:t>maximum rate of heat emission (MARHE) of</w:t>
      </w:r>
      <w:r w:rsidR="00116555" w:rsidRPr="00301458">
        <w:rPr>
          <w:lang w:val="en-GB"/>
        </w:rPr>
        <w:t xml:space="preserve"> the composite samples</w:t>
      </w:r>
      <w:r w:rsidR="00116555" w:rsidRPr="00301458">
        <w:rPr>
          <w:lang w:val="en-ZA"/>
        </w:rPr>
        <w:t xml:space="preserve">. </w:t>
      </w:r>
      <w:r w:rsidR="00116555" w:rsidRPr="00301458">
        <w:rPr>
          <w:bCs/>
        </w:rPr>
        <w:t>The results show that increasing Bi content in the epoxy decrease the parametric values linked to the fire performance of the samples. Thus, the Bi powder additives, being good heat conductor, assist in spreading heat in the matrix and as a result also serve as fire retardant in the composite.</w:t>
      </w:r>
      <w:r w:rsidR="00116555">
        <w:rPr>
          <w:bCs/>
        </w:rPr>
        <w:t xml:space="preserve"> </w:t>
      </w:r>
      <w:r w:rsidR="00116555" w:rsidRPr="00301458">
        <w:rPr>
          <w:bCs/>
        </w:rPr>
        <w:t>For the 35 kW/m</w:t>
      </w:r>
      <w:r w:rsidR="00116555" w:rsidRPr="00301458">
        <w:rPr>
          <w:bCs/>
          <w:vertAlign w:val="superscript"/>
        </w:rPr>
        <w:t>2</w:t>
      </w:r>
      <w:r w:rsidR="00116555" w:rsidRPr="00301458">
        <w:rPr>
          <w:bCs/>
        </w:rPr>
        <w:t xml:space="preserve"> irradiation, </w:t>
      </w:r>
      <w:r w:rsidR="00116555" w:rsidRPr="00301458">
        <w:rPr>
          <w:lang w:val="en-ZA"/>
        </w:rPr>
        <w:t xml:space="preserve">TTI decrease from 89 (neat sample) to 70 s (1.39 </w:t>
      </w:r>
      <w:proofErr w:type="spellStart"/>
      <w:r w:rsidR="00116555" w:rsidRPr="00301458">
        <w:rPr>
          <w:lang w:val="en-ZA"/>
        </w:rPr>
        <w:t>wt</w:t>
      </w:r>
      <w:proofErr w:type="spellEnd"/>
      <w:r w:rsidR="00116555" w:rsidRPr="00301458">
        <w:rPr>
          <w:lang w:val="en-ZA"/>
        </w:rPr>
        <w:t>% Bi); Peak HRR decrease from 818.95 (neat) to 698.9 kW/m</w:t>
      </w:r>
      <w:r w:rsidR="00116555" w:rsidRPr="00301458">
        <w:rPr>
          <w:vertAlign w:val="superscript"/>
          <w:lang w:val="en-ZA"/>
        </w:rPr>
        <w:t>2</w:t>
      </w:r>
      <w:r w:rsidR="00116555" w:rsidRPr="00301458">
        <w:rPr>
          <w:lang w:val="en-ZA"/>
        </w:rPr>
        <w:t xml:space="preserve"> (1.39 </w:t>
      </w:r>
      <w:proofErr w:type="spellStart"/>
      <w:r w:rsidR="00116555" w:rsidRPr="00301458">
        <w:rPr>
          <w:lang w:val="en-ZA"/>
        </w:rPr>
        <w:t>wt</w:t>
      </w:r>
      <w:proofErr w:type="spellEnd"/>
      <w:r w:rsidR="00116555" w:rsidRPr="00301458">
        <w:rPr>
          <w:lang w:val="en-ZA"/>
        </w:rPr>
        <w:t xml:space="preserve">% Bi); FIGRA decreases from 2.48 (neat) to 1.49 W/s (1.39 </w:t>
      </w:r>
      <w:proofErr w:type="spellStart"/>
      <w:r w:rsidR="00116555" w:rsidRPr="00301458">
        <w:rPr>
          <w:lang w:val="en-ZA"/>
        </w:rPr>
        <w:t>wt</w:t>
      </w:r>
      <w:proofErr w:type="spellEnd"/>
      <w:r w:rsidR="00116555" w:rsidRPr="00301458">
        <w:rPr>
          <w:lang w:val="en-ZA"/>
        </w:rPr>
        <w:t>% Bi); SMOGRA decrease from 5.08 to 3.83 m</w:t>
      </w:r>
      <w:r w:rsidR="00116555" w:rsidRPr="00301458">
        <w:rPr>
          <w:vertAlign w:val="superscript"/>
          <w:lang w:val="en-ZA"/>
        </w:rPr>
        <w:t>2</w:t>
      </w:r>
      <w:r w:rsidR="00116555" w:rsidRPr="00301458">
        <w:rPr>
          <w:lang w:val="en-ZA"/>
        </w:rPr>
        <w:t>/s</w:t>
      </w:r>
      <w:r w:rsidR="00116555" w:rsidRPr="00301458">
        <w:rPr>
          <w:vertAlign w:val="superscript"/>
          <w:lang w:val="en-ZA"/>
        </w:rPr>
        <w:t>2</w:t>
      </w:r>
      <w:r w:rsidR="00116555" w:rsidRPr="00301458">
        <w:rPr>
          <w:lang w:val="en-ZA"/>
        </w:rPr>
        <w:t>; and MARHE decreases from 416.6 to 393.7 kW/m</w:t>
      </w:r>
      <w:r w:rsidR="00116555" w:rsidRPr="00301458">
        <w:rPr>
          <w:vertAlign w:val="superscript"/>
          <w:lang w:val="en-ZA"/>
        </w:rPr>
        <w:t>2</w:t>
      </w:r>
      <w:r w:rsidR="00116555" w:rsidRPr="00301458">
        <w:rPr>
          <w:lang w:val="en-ZA"/>
        </w:rPr>
        <w:t>.</w:t>
      </w:r>
      <w:r w:rsidR="00116555" w:rsidRPr="00301458">
        <w:rPr>
          <w:bCs/>
        </w:rPr>
        <w:t>For the 50 kW/m</w:t>
      </w:r>
      <w:r w:rsidR="00116555" w:rsidRPr="00301458">
        <w:rPr>
          <w:bCs/>
          <w:vertAlign w:val="superscript"/>
        </w:rPr>
        <w:t>2</w:t>
      </w:r>
      <w:r w:rsidR="00116555" w:rsidRPr="00301458">
        <w:rPr>
          <w:bCs/>
        </w:rPr>
        <w:t xml:space="preserve"> irradiation, </w:t>
      </w:r>
      <w:r w:rsidR="00116555" w:rsidRPr="00301458">
        <w:rPr>
          <w:lang w:val="en-ZA"/>
        </w:rPr>
        <w:t xml:space="preserve">TTI decrease from 38 (neat sample) to 31 s (1.39 </w:t>
      </w:r>
      <w:proofErr w:type="spellStart"/>
      <w:r w:rsidR="00116555" w:rsidRPr="00301458">
        <w:rPr>
          <w:lang w:val="en-ZA"/>
        </w:rPr>
        <w:t>wt</w:t>
      </w:r>
      <w:proofErr w:type="spellEnd"/>
      <w:r w:rsidR="00116555" w:rsidRPr="00301458">
        <w:rPr>
          <w:lang w:val="en-ZA"/>
        </w:rPr>
        <w:t>% Bi); Peak HRR decrease from 1361.73 (neat) to 675.03 kW/m</w:t>
      </w:r>
      <w:r w:rsidR="00116555" w:rsidRPr="00301458">
        <w:rPr>
          <w:vertAlign w:val="superscript"/>
          <w:lang w:val="en-ZA"/>
        </w:rPr>
        <w:t>2</w:t>
      </w:r>
      <w:r w:rsidR="00116555" w:rsidRPr="00301458">
        <w:rPr>
          <w:lang w:val="en-ZA"/>
        </w:rPr>
        <w:t xml:space="preserve"> (1.39 </w:t>
      </w:r>
      <w:proofErr w:type="spellStart"/>
      <w:r w:rsidR="00116555" w:rsidRPr="00301458">
        <w:rPr>
          <w:lang w:val="en-ZA"/>
        </w:rPr>
        <w:t>wt</w:t>
      </w:r>
      <w:proofErr w:type="spellEnd"/>
      <w:r w:rsidR="00116555" w:rsidRPr="00301458">
        <w:rPr>
          <w:lang w:val="en-ZA"/>
        </w:rPr>
        <w:t xml:space="preserve">% Bi); FIGRA decreases from 4.78 (neat) to 2.25 W/s (1.39 </w:t>
      </w:r>
      <w:proofErr w:type="spellStart"/>
      <w:r w:rsidR="00116555" w:rsidRPr="00301458">
        <w:rPr>
          <w:lang w:val="en-ZA"/>
        </w:rPr>
        <w:t>wt</w:t>
      </w:r>
      <w:proofErr w:type="spellEnd"/>
      <w:r w:rsidR="00116555" w:rsidRPr="00301458">
        <w:rPr>
          <w:lang w:val="en-ZA"/>
        </w:rPr>
        <w:t>% Bi); SMOGRA decrease from 9.39 to 6.27 m</w:t>
      </w:r>
      <w:r w:rsidR="00116555" w:rsidRPr="00301458">
        <w:rPr>
          <w:vertAlign w:val="superscript"/>
          <w:lang w:val="en-ZA"/>
        </w:rPr>
        <w:t>2</w:t>
      </w:r>
      <w:r w:rsidR="00116555" w:rsidRPr="00301458">
        <w:rPr>
          <w:lang w:val="en-ZA"/>
        </w:rPr>
        <w:t>/s</w:t>
      </w:r>
      <w:r w:rsidR="00116555" w:rsidRPr="00301458">
        <w:rPr>
          <w:vertAlign w:val="superscript"/>
          <w:lang w:val="en-ZA"/>
        </w:rPr>
        <w:t>2</w:t>
      </w:r>
      <w:r w:rsidR="00116555" w:rsidRPr="00301458">
        <w:rPr>
          <w:lang w:val="en-ZA"/>
        </w:rPr>
        <w:t>; and MARHE decreases from 632.3 to 425.7 kW/m</w:t>
      </w:r>
      <w:r w:rsidR="00116555" w:rsidRPr="00301458">
        <w:rPr>
          <w:vertAlign w:val="superscript"/>
          <w:lang w:val="en-ZA"/>
        </w:rPr>
        <w:t>2</w:t>
      </w:r>
      <w:r w:rsidR="00116555" w:rsidRPr="00301458">
        <w:rPr>
          <w:lang w:val="en-ZA"/>
        </w:rPr>
        <w:t xml:space="preserve">.Clearly, increasing Bi additives in the range used, decrease TTI, </w:t>
      </w:r>
      <w:proofErr w:type="spellStart"/>
      <w:r w:rsidR="00116555" w:rsidRPr="00301458">
        <w:rPr>
          <w:lang w:val="en-ZA"/>
        </w:rPr>
        <w:t>pHRR</w:t>
      </w:r>
      <w:proofErr w:type="spellEnd"/>
      <w:r w:rsidR="00116555" w:rsidRPr="00301458">
        <w:rPr>
          <w:lang w:val="en-ZA"/>
        </w:rPr>
        <w:t>, FIGRA, SMOGRA, and MARHE values.</w:t>
      </w:r>
      <w:r w:rsidR="00116555" w:rsidRPr="00301458">
        <w:rPr>
          <w:bCs/>
        </w:rPr>
        <w:t xml:space="preserve"> </w:t>
      </w:r>
      <w:r w:rsidR="00116555" w:rsidRPr="00301458">
        <w:rPr>
          <w:lang w:val="en-ZA"/>
        </w:rPr>
        <w:t>Thus, good thermal performance of the</w:t>
      </w:r>
      <w:r w:rsidR="00116555">
        <w:rPr>
          <w:lang w:val="en-ZA"/>
        </w:rPr>
        <w:t xml:space="preserve"> composites </w:t>
      </w:r>
      <w:proofErr w:type="gramStart"/>
      <w:r w:rsidR="00116555">
        <w:rPr>
          <w:lang w:val="en-ZA"/>
        </w:rPr>
        <w:t>are</w:t>
      </w:r>
      <w:proofErr w:type="gramEnd"/>
      <w:r w:rsidR="00116555">
        <w:rPr>
          <w:lang w:val="en-ZA"/>
        </w:rPr>
        <w:t xml:space="preserve"> achieved with increasing concentration of the Bi additives.</w:t>
      </w:r>
    </w:p>
    <w:p w:rsidR="00830D7D" w:rsidRPr="0099768D" w:rsidRDefault="00830D7D" w:rsidP="00652929">
      <w:pPr>
        <w:pStyle w:val="Heading1"/>
      </w:pPr>
      <w:r w:rsidRPr="0099768D">
        <w:t>Introduction</w:t>
      </w:r>
    </w:p>
    <w:p w:rsidR="00435E5C" w:rsidRDefault="00116555" w:rsidP="00116555">
      <w:pPr>
        <w:pStyle w:val="BodyText"/>
        <w:rPr>
          <w:spacing w:val="-7"/>
        </w:rPr>
      </w:pPr>
      <w:bookmarkStart w:id="1" w:name="_Hlk202125520"/>
      <w:r w:rsidRPr="00992647">
        <w:rPr>
          <w:iCs/>
          <w:lang w:val="en-ZA"/>
        </w:rPr>
        <w:t>Organic polymers with inorganic reinforced composites are in daily use both domestically and industrially - in coating, adhesives, primers, aeronautic utilities, electro-optical devices and sensors, among others.</w:t>
      </w:r>
      <w:r w:rsidRPr="00992647">
        <w:rPr>
          <w:iCs/>
          <w:vertAlign w:val="superscript"/>
          <w:lang w:val="en-ZA"/>
        </w:rPr>
        <w:t>1</w:t>
      </w:r>
      <w:r w:rsidRPr="00992647">
        <w:rPr>
          <w:iCs/>
          <w:lang w:val="en-ZA"/>
        </w:rPr>
        <w:t xml:space="preserve"> These polymer-based materials are competing with metallic alloys in terms of cost and functionality (durability, strength, and other physical and chemical properties).</w:t>
      </w:r>
      <w:r w:rsidRPr="00992647">
        <w:rPr>
          <w:iCs/>
          <w:vertAlign w:val="superscript"/>
          <w:lang w:val="en-ZA"/>
        </w:rPr>
        <w:t>2</w:t>
      </w:r>
      <w:r w:rsidRPr="00992647">
        <w:rPr>
          <w:iCs/>
          <w:lang w:val="en-ZA"/>
        </w:rPr>
        <w:t xml:space="preserve"> However, the effect of heat on some of these polymer-based composites, brings some undesirable changes that affect product functionality. Inorganic additives to organic epoxy resin have shown promising flame-retardant effects and increasing electrical conductivity. Flame-</w:t>
      </w:r>
      <w:r w:rsidRPr="00992647">
        <w:rPr>
          <w:iCs/>
          <w:lang w:val="en-ZA"/>
        </w:rPr>
        <w:lastRenderedPageBreak/>
        <w:t>retardant effects are measured in terms of decreasing HRR, FIGRA, MARHE, SPR and SMOGRA which parameters can be obtained from Cone Calorimeter measurements.</w:t>
      </w:r>
      <w:r w:rsidR="00830D7D" w:rsidRPr="0099768D">
        <w:rPr>
          <w:spacing w:val="-7"/>
        </w:rPr>
        <w:t xml:space="preserve"> </w:t>
      </w:r>
    </w:p>
    <w:p w:rsidR="00AE1A94" w:rsidRPr="0099768D" w:rsidRDefault="00AE1A94" w:rsidP="00AE1A94">
      <w:pPr>
        <w:pStyle w:val="Heading1"/>
      </w:pPr>
      <w:r>
        <w:t>Materials and methods</w:t>
      </w:r>
    </w:p>
    <w:p w:rsidR="002A7A49" w:rsidRDefault="002A7A49" w:rsidP="002A7A49">
      <w:pPr>
        <w:pStyle w:val="Heading2"/>
      </w:pPr>
      <w:r>
        <w:t>Sample</w:t>
      </w:r>
    </w:p>
    <w:p w:rsidR="00AE1A94" w:rsidRPr="00116555" w:rsidRDefault="00D67D6A" w:rsidP="00AE1A94">
      <w:pPr>
        <w:pStyle w:val="BodyText"/>
        <w:rPr>
          <w:iCs/>
        </w:rPr>
      </w:pPr>
      <w:r>
        <w:rPr>
          <w:iCs/>
        </w:rPr>
        <w:t>L</w:t>
      </w:r>
      <w:r w:rsidR="004540E5">
        <w:rPr>
          <w:iCs/>
        </w:rPr>
        <w:t xml:space="preserve">iquid </w:t>
      </w:r>
      <w:r w:rsidR="00AE1A94" w:rsidRPr="00301458">
        <w:rPr>
          <w:iCs/>
        </w:rPr>
        <w:t>epoxy</w:t>
      </w:r>
      <w:r w:rsidR="004540E5">
        <w:rPr>
          <w:iCs/>
        </w:rPr>
        <w:t xml:space="preserve"> resin</w:t>
      </w:r>
      <w:r w:rsidR="00AE1A94" w:rsidRPr="00301458">
        <w:rPr>
          <w:iCs/>
        </w:rPr>
        <w:t xml:space="preserve"> (</w:t>
      </w:r>
      <w:proofErr w:type="spellStart"/>
      <w:r w:rsidR="00AE1A94" w:rsidRPr="00301458">
        <w:rPr>
          <w:iCs/>
        </w:rPr>
        <w:t>Ampreg</w:t>
      </w:r>
      <w:proofErr w:type="spellEnd"/>
      <w:r w:rsidR="00AE1A94" w:rsidRPr="00301458">
        <w:rPr>
          <w:iCs/>
        </w:rPr>
        <w:t xml:space="preserve"> 21TM) </w:t>
      </w:r>
      <w:r w:rsidR="004540E5" w:rsidRPr="00305F76">
        <w:rPr>
          <w:lang w:val="en-GB"/>
        </w:rPr>
        <w:t xml:space="preserve">and </w:t>
      </w:r>
      <w:proofErr w:type="spellStart"/>
      <w:r w:rsidR="004540E5">
        <w:rPr>
          <w:lang w:val="en-GB"/>
        </w:rPr>
        <w:t>its</w:t>
      </w:r>
      <w:proofErr w:type="spellEnd"/>
      <w:r w:rsidR="004540E5" w:rsidRPr="00305F76">
        <w:rPr>
          <w:lang w:val="en-GB"/>
        </w:rPr>
        <w:t xml:space="preserve"> slow hardener</w:t>
      </w:r>
      <w:r w:rsidR="004540E5" w:rsidRPr="00301458">
        <w:rPr>
          <w:iCs/>
        </w:rPr>
        <w:t xml:space="preserve"> </w:t>
      </w:r>
      <w:r>
        <w:rPr>
          <w:iCs/>
        </w:rPr>
        <w:t>were purchased from Advanced Materials Technology (Pty) Ltd, in South Africa. D</w:t>
      </w:r>
      <w:r w:rsidR="00AE1A94" w:rsidRPr="00301458">
        <w:rPr>
          <w:iCs/>
        </w:rPr>
        <w:t xml:space="preserve">ifferent </w:t>
      </w:r>
      <w:r w:rsidR="004540E5">
        <w:rPr>
          <w:iCs/>
        </w:rPr>
        <w:t xml:space="preserve">low </w:t>
      </w:r>
      <w:r w:rsidR="00AE1A94" w:rsidRPr="00301458">
        <w:rPr>
          <w:iCs/>
        </w:rPr>
        <w:t>weight percentages of Bi inorganic nanoparticle fillers</w:t>
      </w:r>
      <w:r>
        <w:rPr>
          <w:iCs/>
        </w:rPr>
        <w:t xml:space="preserve"> were added to the </w:t>
      </w:r>
      <w:proofErr w:type="spellStart"/>
      <w:r>
        <w:rPr>
          <w:iCs/>
        </w:rPr>
        <w:t>Ampreg</w:t>
      </w:r>
      <w:proofErr w:type="spellEnd"/>
      <w:r>
        <w:rPr>
          <w:iCs/>
        </w:rPr>
        <w:t xml:space="preserve"> 21 in its liquid state</w:t>
      </w:r>
      <w:r w:rsidR="00AE1A94" w:rsidRPr="00301458">
        <w:rPr>
          <w:iCs/>
        </w:rPr>
        <w:t xml:space="preserve">. </w:t>
      </w:r>
      <w:r w:rsidR="004540E5">
        <w:rPr>
          <w:lang w:val="en-GB"/>
        </w:rPr>
        <w:t xml:space="preserve">The composites were </w:t>
      </w:r>
      <w:r>
        <w:rPr>
          <w:lang w:val="en-GB"/>
        </w:rPr>
        <w:t xml:space="preserve">then </w:t>
      </w:r>
      <w:r w:rsidR="004540E5">
        <w:rPr>
          <w:lang w:val="en-GB"/>
        </w:rPr>
        <w:t xml:space="preserve">poured into steel mould (wet with easy removal fluid) and mixed vigorously using magnetic stirrer till homogeneous mixture was obtained and left to cure for 24 hours.  </w:t>
      </w:r>
      <w:r w:rsidR="00AE1A94" w:rsidRPr="00301458">
        <w:rPr>
          <w:iCs/>
        </w:rPr>
        <w:t xml:space="preserve">Altogether eight samples were fabricated: 2x neat (epoxy only), 2x epoxy with 0.46 </w:t>
      </w:r>
      <w:proofErr w:type="spellStart"/>
      <w:r w:rsidR="00AE1A94" w:rsidRPr="00301458">
        <w:rPr>
          <w:iCs/>
        </w:rPr>
        <w:t>wt</w:t>
      </w:r>
      <w:proofErr w:type="spellEnd"/>
      <w:r w:rsidR="00AE1A94" w:rsidRPr="00301458">
        <w:rPr>
          <w:iCs/>
        </w:rPr>
        <w:t xml:space="preserve">% Bi; 2x epoxy with 0.90 </w:t>
      </w:r>
      <w:proofErr w:type="spellStart"/>
      <w:r w:rsidR="00AE1A94" w:rsidRPr="00301458">
        <w:rPr>
          <w:iCs/>
        </w:rPr>
        <w:t>wt</w:t>
      </w:r>
      <w:proofErr w:type="spellEnd"/>
      <w:r w:rsidR="00AE1A94" w:rsidRPr="00301458">
        <w:rPr>
          <w:iCs/>
        </w:rPr>
        <w:t>% Bi; and 2x epoxy with 1.3</w:t>
      </w:r>
      <w:r w:rsidR="00225F1A">
        <w:rPr>
          <w:iCs/>
        </w:rPr>
        <w:t>8</w:t>
      </w:r>
      <w:r w:rsidR="00AE1A94" w:rsidRPr="00301458">
        <w:rPr>
          <w:iCs/>
        </w:rPr>
        <w:t xml:space="preserve"> </w:t>
      </w:r>
      <w:proofErr w:type="spellStart"/>
      <w:r w:rsidR="00AE1A94" w:rsidRPr="00301458">
        <w:rPr>
          <w:iCs/>
        </w:rPr>
        <w:t>wt</w:t>
      </w:r>
      <w:proofErr w:type="spellEnd"/>
      <w:r w:rsidR="00AE1A94" w:rsidRPr="00301458">
        <w:rPr>
          <w:iCs/>
        </w:rPr>
        <w:t>% Bi.</w:t>
      </w:r>
      <w:r w:rsidR="00AE1A94" w:rsidRPr="00AE1A94">
        <w:rPr>
          <w:iCs/>
        </w:rPr>
        <w:t xml:space="preserve"> </w:t>
      </w:r>
      <w:r w:rsidR="00AE1A94" w:rsidRPr="00301458">
        <w:rPr>
          <w:iCs/>
        </w:rPr>
        <w:t>The samples were cut to: 10 x 10 x 0.3 cm</w:t>
      </w:r>
      <w:r w:rsidR="00AE1A94" w:rsidRPr="00301458">
        <w:rPr>
          <w:iCs/>
          <w:vertAlign w:val="superscript"/>
        </w:rPr>
        <w:t>3</w:t>
      </w:r>
      <w:r w:rsidR="00AE1A94" w:rsidRPr="00301458">
        <w:rPr>
          <w:iCs/>
        </w:rPr>
        <w:t xml:space="preserve"> for Cone Calorimeter measurements. Samples were irradiated with two external heat fluxes: 35 and 50 kW/m</w:t>
      </w:r>
      <w:r w:rsidR="00AE1A94" w:rsidRPr="00301458">
        <w:rPr>
          <w:iCs/>
          <w:vertAlign w:val="superscript"/>
        </w:rPr>
        <w:t>2</w:t>
      </w:r>
      <w:r w:rsidR="00AE1A94">
        <w:rPr>
          <w:iCs/>
        </w:rPr>
        <w:t>.</w:t>
      </w:r>
    </w:p>
    <w:bookmarkEnd w:id="1"/>
    <w:p w:rsidR="00047C3E" w:rsidRDefault="002A7A49" w:rsidP="00047C3E">
      <w:pPr>
        <w:pStyle w:val="Heading2"/>
      </w:pPr>
      <w:r>
        <w:t xml:space="preserve">Cone Calorimeter </w:t>
      </w:r>
    </w:p>
    <w:p w:rsidR="001903DD" w:rsidRDefault="002A7A49" w:rsidP="00047C3E">
      <w:pPr>
        <w:pStyle w:val="BodyText"/>
        <w:rPr>
          <w:rFonts w:cs="Arial"/>
        </w:rPr>
      </w:pPr>
      <w:r>
        <w:rPr>
          <w:rFonts w:cs="Arial"/>
        </w:rPr>
        <w:t xml:space="preserve">The </w:t>
      </w:r>
      <w:r w:rsidRPr="004B27C7">
        <w:rPr>
          <w:rFonts w:cs="Arial"/>
        </w:rPr>
        <w:t>Cone Calorimeter is considered as the most significant bench scale instrument in fire testing due to the small sample sizes used for the test</w:t>
      </w:r>
      <w:r w:rsidR="00F8735D">
        <w:rPr>
          <w:rFonts w:cs="Arial"/>
        </w:rPr>
        <w:t>.</w:t>
      </w:r>
      <w:r w:rsidR="00F8735D" w:rsidRPr="00F8735D">
        <w:rPr>
          <w:rFonts w:cs="Arial"/>
          <w:vertAlign w:val="superscript"/>
        </w:rPr>
        <w:t>3</w:t>
      </w:r>
      <w:r w:rsidRPr="004B27C7">
        <w:rPr>
          <w:rFonts w:cs="Arial"/>
        </w:rPr>
        <w:t xml:space="preserve"> Cone </w:t>
      </w:r>
      <w:r>
        <w:rPr>
          <w:rFonts w:cs="Arial"/>
        </w:rPr>
        <w:t xml:space="preserve">Calorimetric testing </w:t>
      </w:r>
      <w:r w:rsidR="00225F1A">
        <w:rPr>
          <w:rFonts w:cs="Arial"/>
        </w:rPr>
        <w:t>serves as</w:t>
      </w:r>
      <w:r>
        <w:rPr>
          <w:rFonts w:cs="Arial"/>
        </w:rPr>
        <w:t xml:space="preserve"> a</w:t>
      </w:r>
      <w:r w:rsidR="00225F1A">
        <w:rPr>
          <w:rFonts w:cs="Arial"/>
        </w:rPr>
        <w:t>n elegant</w:t>
      </w:r>
      <w:r>
        <w:rPr>
          <w:rFonts w:cs="Arial"/>
        </w:rPr>
        <w:t xml:space="preserve"> </w:t>
      </w:r>
      <w:r w:rsidRPr="004B27C7">
        <w:rPr>
          <w:rFonts w:cs="Arial"/>
        </w:rPr>
        <w:t>way to conduct research into the fire performance (in the development stage)</w:t>
      </w:r>
      <w:r>
        <w:rPr>
          <w:rFonts w:cs="Arial"/>
        </w:rPr>
        <w:t>.</w:t>
      </w:r>
      <w:r w:rsidRPr="004B27C7">
        <w:rPr>
          <w:rFonts w:cs="Arial"/>
        </w:rPr>
        <w:t xml:space="preserve"> </w:t>
      </w:r>
      <w:r w:rsidRPr="004B27C7">
        <w:rPr>
          <w:rFonts w:cs="Arial"/>
        </w:rPr>
        <w:fldChar w:fldCharType="begin"/>
      </w:r>
      <w:r w:rsidRPr="004B27C7">
        <w:rPr>
          <w:rFonts w:cs="Arial"/>
        </w:rPr>
        <w:instrText xml:space="preserve"> ADDIN EN.CITE &lt;EndNote&gt;&lt;Cite&gt;&lt;Author&gt;HULL&lt;/Author&gt;&lt;Year&gt;2009&lt;/Year&gt;&lt;RecNum&gt;65&lt;/RecNum&gt;&lt;DisplayText&gt;(HULL &amp;amp; STEC, 2009)&lt;/DisplayText&gt;&lt;record&gt;&lt;rec-number&gt;65&lt;/rec-number&gt;&lt;foreign-keys&gt;&lt;key app="EN" db-id="ffp0xd0fjw02sseve2l5d9xsrsde99d5wxa0"&gt;65&lt;/key&gt;&lt;/foreign-keys&gt;&lt;ref-type name="Thesis"&gt;32&lt;/ref-type&gt;&lt;contributors&gt;&lt;authors&gt;&lt;author&gt;HULL, T RICHARD&lt;/author&gt;&lt;author&gt;STEC, ANNA A&lt;/author&gt;&lt;/authors&gt;&lt;/contributors&gt;&lt;titles&gt;&lt;title&gt;Polymers and Fire&lt;/title&gt;&lt;secondary-title&gt;Fire Retardancy of Polymers. New Strategies and Mechanism&lt;/secondary-title&gt;&lt;/titles&gt;&lt;periodical&gt;&lt;full-title&gt;Fire Retardancy of Polymers. New Strategies and Mechanism&lt;/full-title&gt;&lt;/periodical&gt;&lt;pages&gt;1-14&lt;/pages&gt;&lt;dates&gt;&lt;year&gt;2009&lt;/year&gt;&lt;/dates&gt;&lt;urls&gt;&lt;/urls&gt;&lt;/record&gt;&lt;/Cite&gt;&lt;/EndNote&gt;</w:instrText>
      </w:r>
      <w:r w:rsidRPr="004B27C7">
        <w:rPr>
          <w:rFonts w:cs="Arial"/>
        </w:rPr>
        <w:fldChar w:fldCharType="end"/>
      </w:r>
      <w:r>
        <w:rPr>
          <w:rFonts w:cs="Arial"/>
        </w:rPr>
        <w:t xml:space="preserve"> From each of the set external heat fluxes mentioned above, t</w:t>
      </w:r>
      <w:r w:rsidRPr="004B27C7">
        <w:rPr>
          <w:rFonts w:cs="Arial"/>
        </w:rPr>
        <w:t>he</w:t>
      </w:r>
      <w:r>
        <w:rPr>
          <w:rFonts w:cs="Arial"/>
        </w:rPr>
        <w:t xml:space="preserve"> Fire Test Technology (FTT) Dual Cone Calorimeter, conformed to ISO 5660 standard, was used to measure the following parameters:</w:t>
      </w:r>
      <w:r w:rsidRPr="004B27C7">
        <w:rPr>
          <w:rFonts w:cs="Arial"/>
        </w:rPr>
        <w:t xml:space="preserve"> heat release rate</w:t>
      </w:r>
      <w:r>
        <w:rPr>
          <w:rFonts w:cs="Arial"/>
        </w:rPr>
        <w:t xml:space="preserve"> (</w:t>
      </w:r>
      <w:r w:rsidR="00F8735D">
        <w:rPr>
          <w:rFonts w:cs="Arial"/>
        </w:rPr>
        <w:t>HRR</w:t>
      </w:r>
      <w:r>
        <w:rPr>
          <w:rFonts w:cs="Arial"/>
        </w:rPr>
        <w:t xml:space="preserve">); </w:t>
      </w:r>
      <w:r w:rsidR="00F8735D">
        <w:rPr>
          <w:rFonts w:cs="Arial"/>
        </w:rPr>
        <w:t xml:space="preserve">smoke production rate (SPR); </w:t>
      </w:r>
      <w:r>
        <w:rPr>
          <w:rFonts w:cs="Arial"/>
        </w:rPr>
        <w:t>mass loss rate (</w:t>
      </w:r>
      <w:r w:rsidR="00F8735D">
        <w:rPr>
          <w:rFonts w:cs="Arial"/>
        </w:rPr>
        <w:t>MLR</w:t>
      </w:r>
      <w:r>
        <w:rPr>
          <w:rFonts w:cs="Arial"/>
        </w:rPr>
        <w:t>); time to ignition (</w:t>
      </w:r>
      <w:proofErr w:type="spellStart"/>
      <w:r>
        <w:rPr>
          <w:rFonts w:cs="Arial"/>
          <w:i/>
        </w:rPr>
        <w:t>t</w:t>
      </w:r>
      <w:r>
        <w:rPr>
          <w:rFonts w:cs="Arial"/>
          <w:i/>
          <w:vertAlign w:val="subscript"/>
        </w:rPr>
        <w:t>ig</w:t>
      </w:r>
      <w:proofErr w:type="spellEnd"/>
      <w:r>
        <w:rPr>
          <w:rFonts w:cs="Arial"/>
        </w:rPr>
        <w:t>)</w:t>
      </w:r>
      <w:r w:rsidR="00F8735D">
        <w:rPr>
          <w:rFonts w:cs="Arial"/>
        </w:rPr>
        <w:t xml:space="preserve">; </w:t>
      </w:r>
      <w:r w:rsidR="001903DD">
        <w:rPr>
          <w:rFonts w:cs="Arial"/>
        </w:rPr>
        <w:t xml:space="preserve">sustained flaming time; maximum </w:t>
      </w:r>
      <w:r w:rsidR="00F8735D">
        <w:rPr>
          <w:rFonts w:cs="Arial"/>
        </w:rPr>
        <w:t>average</w:t>
      </w:r>
      <w:r w:rsidR="001903DD">
        <w:rPr>
          <w:rFonts w:cs="Arial"/>
        </w:rPr>
        <w:t xml:space="preserve"> rate of heat emission (MARHE) and other derived parameters such as: fire spread index (FIGRA) and smoke spread index (SMOGRA)</w:t>
      </w:r>
      <w:r w:rsidR="00F8735D">
        <w:rPr>
          <w:rFonts w:cs="Arial"/>
        </w:rPr>
        <w:t xml:space="preserve">. </w:t>
      </w:r>
      <w:r w:rsidR="00576708" w:rsidRPr="00576708">
        <w:rPr>
          <w:rFonts w:eastAsia="Calibri"/>
        </w:rPr>
        <w:t>FIGRA is an index used for indicating how fast combustion of a material develops</w:t>
      </w:r>
      <w:r w:rsidR="00576708">
        <w:rPr>
          <w:rFonts w:eastAsia="Calibri"/>
        </w:rPr>
        <w:t>.</w:t>
      </w:r>
      <w:r w:rsidR="00576708" w:rsidRPr="00576708">
        <w:rPr>
          <w:rFonts w:eastAsia="Calibri"/>
          <w:vertAlign w:val="superscript"/>
        </w:rPr>
        <w:t>4</w:t>
      </w:r>
      <w:r w:rsidR="00576708" w:rsidRPr="00576708">
        <w:rPr>
          <w:rFonts w:eastAsia="Calibri"/>
        </w:rPr>
        <w:t xml:space="preserve"> </w:t>
      </w:r>
      <w:r w:rsidR="00576708" w:rsidRPr="00576708">
        <w:rPr>
          <w:bCs/>
          <w:color w:val="101010"/>
          <w:lang w:eastAsia="en-ZA"/>
        </w:rPr>
        <w:t>FIGRA provides estimation on the rate of fire spread or development and expressed as the ratio of p</w:t>
      </w:r>
      <w:r w:rsidR="00576708">
        <w:rPr>
          <w:bCs/>
          <w:color w:val="101010"/>
          <w:lang w:eastAsia="en-ZA"/>
        </w:rPr>
        <w:t xml:space="preserve">eak </w:t>
      </w:r>
      <w:r w:rsidR="00576708" w:rsidRPr="00576708">
        <w:rPr>
          <w:bCs/>
          <w:color w:val="101010"/>
          <w:lang w:eastAsia="en-ZA"/>
        </w:rPr>
        <w:t xml:space="preserve">HRR </w:t>
      </w:r>
      <w:r w:rsidR="00576708">
        <w:rPr>
          <w:bCs/>
          <w:color w:val="101010"/>
          <w:lang w:eastAsia="en-ZA"/>
        </w:rPr>
        <w:t>(</w:t>
      </w:r>
      <w:proofErr w:type="spellStart"/>
      <w:r w:rsidR="00576708">
        <w:rPr>
          <w:bCs/>
          <w:color w:val="101010"/>
          <w:lang w:eastAsia="en-ZA"/>
        </w:rPr>
        <w:t>pHRR</w:t>
      </w:r>
      <w:proofErr w:type="spellEnd"/>
      <w:r w:rsidR="00576708">
        <w:rPr>
          <w:bCs/>
          <w:color w:val="101010"/>
          <w:lang w:eastAsia="en-ZA"/>
        </w:rPr>
        <w:t xml:space="preserve">) </w:t>
      </w:r>
      <w:r w:rsidR="00576708" w:rsidRPr="00576708">
        <w:rPr>
          <w:bCs/>
          <w:color w:val="101010"/>
          <w:lang w:eastAsia="en-ZA"/>
        </w:rPr>
        <w:t xml:space="preserve">and the time at which the </w:t>
      </w:r>
      <w:proofErr w:type="spellStart"/>
      <w:r w:rsidR="00576708" w:rsidRPr="00576708">
        <w:rPr>
          <w:bCs/>
          <w:color w:val="101010"/>
          <w:lang w:eastAsia="en-ZA"/>
        </w:rPr>
        <w:t>pHRR</w:t>
      </w:r>
      <w:proofErr w:type="spellEnd"/>
      <w:r w:rsidR="00576708" w:rsidRPr="00576708">
        <w:rPr>
          <w:bCs/>
          <w:color w:val="101010"/>
          <w:lang w:eastAsia="en-ZA"/>
        </w:rPr>
        <w:t xml:space="preserve"> occurs. </w:t>
      </w:r>
      <w:r w:rsidR="006E582F">
        <w:rPr>
          <w:bCs/>
          <w:color w:val="101010"/>
          <w:lang w:eastAsia="en-ZA"/>
        </w:rPr>
        <w:t xml:space="preserve">Similarly, SMOGRA, </w:t>
      </w:r>
      <w:r w:rsidR="00576708" w:rsidRPr="00576708">
        <w:rPr>
          <w:rFonts w:eastAsia="Calibri"/>
          <w:lang w:val="en-GB"/>
        </w:rPr>
        <w:t>is closely related to SPR</w:t>
      </w:r>
      <w:r w:rsidR="006E582F">
        <w:rPr>
          <w:rFonts w:eastAsia="Calibri"/>
          <w:lang w:val="en-GB"/>
        </w:rPr>
        <w:t xml:space="preserve"> and i</w:t>
      </w:r>
      <w:r w:rsidR="00576708" w:rsidRPr="00576708">
        <w:rPr>
          <w:rFonts w:eastAsia="Calibri"/>
          <w:lang w:val="en-GB"/>
        </w:rPr>
        <w:t>t</w:t>
      </w:r>
      <w:r w:rsidR="00576708" w:rsidRPr="00576708">
        <w:rPr>
          <w:rFonts w:eastAsia="Calibri"/>
        </w:rPr>
        <w:t xml:space="preserve"> indicates the smoke spread measure of </w:t>
      </w:r>
      <w:r w:rsidR="006E582F">
        <w:rPr>
          <w:rFonts w:eastAsia="Calibri"/>
        </w:rPr>
        <w:t>a</w:t>
      </w:r>
      <w:r w:rsidR="00576708" w:rsidRPr="00576708">
        <w:rPr>
          <w:rFonts w:eastAsia="Calibri"/>
        </w:rPr>
        <w:t xml:space="preserve"> </w:t>
      </w:r>
      <w:r w:rsidR="006E582F">
        <w:rPr>
          <w:rFonts w:eastAsia="Calibri"/>
        </w:rPr>
        <w:t>sample.</w:t>
      </w:r>
      <w:r w:rsidR="00EC67B9" w:rsidRPr="00EC67B9">
        <w:rPr>
          <w:rFonts w:eastAsia="Calibri"/>
          <w:vertAlign w:val="superscript"/>
        </w:rPr>
        <w:t>5</w:t>
      </w:r>
      <w:r w:rsidR="006E582F">
        <w:rPr>
          <w:rFonts w:eastAsia="Calibri"/>
        </w:rPr>
        <w:t xml:space="preserve"> SMOGRA is </w:t>
      </w:r>
      <w:r w:rsidR="006E582F" w:rsidRPr="00576708">
        <w:rPr>
          <w:bCs/>
          <w:color w:val="101010"/>
          <w:lang w:eastAsia="en-ZA"/>
        </w:rPr>
        <w:t>expressed as the ratio of p</w:t>
      </w:r>
      <w:r w:rsidR="002D6A8D">
        <w:rPr>
          <w:bCs/>
          <w:color w:val="101010"/>
          <w:lang w:eastAsia="en-ZA"/>
        </w:rPr>
        <w:t xml:space="preserve">eak </w:t>
      </w:r>
      <w:r w:rsidR="006E582F">
        <w:rPr>
          <w:bCs/>
          <w:color w:val="101010"/>
          <w:lang w:eastAsia="en-ZA"/>
        </w:rPr>
        <w:t>SP</w:t>
      </w:r>
      <w:r w:rsidR="006E582F" w:rsidRPr="00576708">
        <w:rPr>
          <w:bCs/>
          <w:color w:val="101010"/>
          <w:lang w:eastAsia="en-ZA"/>
        </w:rPr>
        <w:t xml:space="preserve">R </w:t>
      </w:r>
      <w:r w:rsidR="002D6A8D">
        <w:rPr>
          <w:bCs/>
          <w:color w:val="101010"/>
          <w:lang w:eastAsia="en-ZA"/>
        </w:rPr>
        <w:t>(</w:t>
      </w:r>
      <w:proofErr w:type="spellStart"/>
      <w:r w:rsidR="002D6A8D">
        <w:rPr>
          <w:bCs/>
          <w:color w:val="101010"/>
          <w:lang w:eastAsia="en-ZA"/>
        </w:rPr>
        <w:t>pSPR</w:t>
      </w:r>
      <w:proofErr w:type="spellEnd"/>
      <w:r w:rsidR="002D6A8D">
        <w:rPr>
          <w:bCs/>
          <w:color w:val="101010"/>
          <w:lang w:eastAsia="en-ZA"/>
        </w:rPr>
        <w:t xml:space="preserve">) </w:t>
      </w:r>
      <w:r w:rsidR="006E582F" w:rsidRPr="00576708">
        <w:rPr>
          <w:bCs/>
          <w:color w:val="101010"/>
          <w:lang w:eastAsia="en-ZA"/>
        </w:rPr>
        <w:t xml:space="preserve">and the time at which the </w:t>
      </w:r>
      <w:proofErr w:type="spellStart"/>
      <w:r w:rsidR="006E582F" w:rsidRPr="00576708">
        <w:rPr>
          <w:bCs/>
          <w:color w:val="101010"/>
          <w:lang w:eastAsia="en-ZA"/>
        </w:rPr>
        <w:t>p</w:t>
      </w:r>
      <w:r w:rsidR="006E582F">
        <w:rPr>
          <w:bCs/>
          <w:color w:val="101010"/>
          <w:lang w:eastAsia="en-ZA"/>
        </w:rPr>
        <w:t>SP</w:t>
      </w:r>
      <w:r w:rsidR="006E582F" w:rsidRPr="00576708">
        <w:rPr>
          <w:bCs/>
          <w:color w:val="101010"/>
          <w:lang w:eastAsia="en-ZA"/>
        </w:rPr>
        <w:t>R</w:t>
      </w:r>
      <w:proofErr w:type="spellEnd"/>
      <w:r w:rsidR="006E582F" w:rsidRPr="00576708">
        <w:rPr>
          <w:bCs/>
          <w:color w:val="101010"/>
          <w:lang w:eastAsia="en-ZA"/>
        </w:rPr>
        <w:t xml:space="preserve"> occurs</w:t>
      </w:r>
      <w:r w:rsidR="006E582F">
        <w:rPr>
          <w:bCs/>
          <w:color w:val="101010"/>
          <w:lang w:eastAsia="en-ZA"/>
        </w:rPr>
        <w:t>.</w:t>
      </w:r>
      <w:r w:rsidR="006E582F">
        <w:rPr>
          <w:rFonts w:cs="Arial"/>
        </w:rPr>
        <w:t xml:space="preserve"> </w:t>
      </w:r>
      <w:r w:rsidR="001903DD">
        <w:rPr>
          <w:rFonts w:cs="Arial"/>
        </w:rPr>
        <w:t xml:space="preserve">Figure 1 shows the Cone Calorimeter with a </w:t>
      </w:r>
      <w:r w:rsidR="002D6A8D">
        <w:rPr>
          <w:rFonts w:cs="Arial"/>
        </w:rPr>
        <w:t xml:space="preserve">burning </w:t>
      </w:r>
      <w:r w:rsidR="001903DD">
        <w:rPr>
          <w:rFonts w:cs="Arial"/>
        </w:rPr>
        <w:t>sample</w:t>
      </w:r>
      <w:r w:rsidR="002D6A8D">
        <w:rPr>
          <w:rFonts w:cs="Arial"/>
        </w:rPr>
        <w:t xml:space="preserve"> on a load cell</w:t>
      </w:r>
      <w:r w:rsidR="001903DD">
        <w:rPr>
          <w:rFonts w:cs="Arial"/>
        </w:rPr>
        <w:t xml:space="preserve">. </w:t>
      </w:r>
    </w:p>
    <w:p w:rsidR="001903DD" w:rsidRDefault="001903DD" w:rsidP="00047C3E">
      <w:pPr>
        <w:pStyle w:val="BodyText"/>
        <w:rPr>
          <w:rFonts w:cs="Arial"/>
        </w:rPr>
      </w:pPr>
      <w:bookmarkStart w:id="2" w:name="_Hlk204785208"/>
      <w:bookmarkEnd w:id="2"/>
      <w:r w:rsidRPr="00A749A0">
        <w:rPr>
          <w:noProof/>
        </w:rPr>
        <w:drawing>
          <wp:inline distT="0" distB="0" distL="0" distR="0" wp14:anchorId="601274AB" wp14:editId="3F12ABBF">
            <wp:extent cx="2727435" cy="1823085"/>
            <wp:effectExtent l="19050" t="19050" r="15875" b="24765"/>
            <wp:docPr id="1479453664" name="Picture 1"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53664" name="Picture 1" descr="A diagram of a machine&#10;&#10;AI-generated content may be incorrect."/>
                    <pic:cNvPicPr/>
                  </pic:nvPicPr>
                  <pic:blipFill>
                    <a:blip r:embed="rId8"/>
                    <a:stretch>
                      <a:fillRect/>
                    </a:stretch>
                  </pic:blipFill>
                  <pic:spPr>
                    <a:xfrm>
                      <a:off x="0" y="0"/>
                      <a:ext cx="2765077" cy="1848246"/>
                    </a:xfrm>
                    <a:prstGeom prst="rect">
                      <a:avLst/>
                    </a:prstGeom>
                    <a:ln w="12700">
                      <a:solidFill>
                        <a:schemeClr val="tx1"/>
                      </a:solidFill>
                    </a:ln>
                  </pic:spPr>
                </pic:pic>
              </a:graphicData>
            </a:graphic>
          </wp:inline>
        </w:drawing>
      </w:r>
    </w:p>
    <w:p w:rsidR="008D296F" w:rsidRDefault="008D296F" w:rsidP="00047C3E">
      <w:pPr>
        <w:pStyle w:val="BodyText"/>
        <w:rPr>
          <w:rFonts w:cs="Arial"/>
        </w:rPr>
      </w:pPr>
      <w:r w:rsidRPr="0099768D">
        <w:t>Figure 1:</w:t>
      </w:r>
      <w:r w:rsidRPr="0099768D">
        <w:rPr>
          <w:spacing w:val="23"/>
        </w:rPr>
        <w:t xml:space="preserve"> </w:t>
      </w:r>
      <w:r>
        <w:rPr>
          <w:spacing w:val="23"/>
        </w:rPr>
        <w:t>Section of the Cone Calorimeter showing a burning sample</w:t>
      </w:r>
    </w:p>
    <w:p w:rsidR="001903DD" w:rsidRPr="0099768D" w:rsidRDefault="001903DD" w:rsidP="001903DD">
      <w:pPr>
        <w:pStyle w:val="Heading1"/>
      </w:pPr>
      <w:r>
        <w:rPr>
          <w:rFonts w:eastAsia="Calibri"/>
          <w:sz w:val="24"/>
          <w:szCs w:val="24"/>
        </w:rPr>
        <w:t xml:space="preserve"> </w:t>
      </w:r>
      <w:r>
        <w:t xml:space="preserve">Results </w:t>
      </w:r>
    </w:p>
    <w:p w:rsidR="00614506" w:rsidRDefault="008D296F" w:rsidP="001903DD">
      <w:pPr>
        <w:pStyle w:val="BodyText"/>
        <w:rPr>
          <w:iCs/>
          <w:lang w:val="en-ZA"/>
        </w:rPr>
      </w:pPr>
      <w:r>
        <w:rPr>
          <w:iCs/>
          <w:lang w:val="en-ZA"/>
        </w:rPr>
        <w:t>The hea</w:t>
      </w:r>
      <w:r w:rsidR="004875B8">
        <w:rPr>
          <w:iCs/>
          <w:lang w:val="en-ZA"/>
        </w:rPr>
        <w:t>t</w:t>
      </w:r>
      <w:r>
        <w:rPr>
          <w:iCs/>
          <w:lang w:val="en-ZA"/>
        </w:rPr>
        <w:t xml:space="preserve"> release and the smoke production rate</w:t>
      </w:r>
      <w:r w:rsidR="004875B8">
        <w:rPr>
          <w:iCs/>
          <w:lang w:val="en-ZA"/>
        </w:rPr>
        <w:t>s</w:t>
      </w:r>
      <w:r>
        <w:rPr>
          <w:iCs/>
          <w:lang w:val="en-ZA"/>
        </w:rPr>
        <w:t xml:space="preserve"> of the samples irradiated with external heat flux of 35 kW/m</w:t>
      </w:r>
      <w:r w:rsidRPr="004875B8">
        <w:rPr>
          <w:iCs/>
          <w:vertAlign w:val="superscript"/>
          <w:lang w:val="en-ZA"/>
        </w:rPr>
        <w:t>2</w:t>
      </w:r>
      <w:r>
        <w:rPr>
          <w:iCs/>
          <w:lang w:val="en-ZA"/>
        </w:rPr>
        <w:t xml:space="preserve"> are shown in </w:t>
      </w:r>
      <w:r w:rsidR="004875B8">
        <w:rPr>
          <w:iCs/>
          <w:lang w:val="en-ZA"/>
        </w:rPr>
        <w:t>F</w:t>
      </w:r>
      <w:r>
        <w:rPr>
          <w:iCs/>
          <w:lang w:val="en-ZA"/>
        </w:rPr>
        <w:t xml:space="preserve">igure 2 </w:t>
      </w:r>
      <w:r w:rsidR="004875B8">
        <w:rPr>
          <w:iCs/>
          <w:lang w:val="en-ZA"/>
        </w:rPr>
        <w:t xml:space="preserve">(a) </w:t>
      </w:r>
      <w:r>
        <w:rPr>
          <w:iCs/>
          <w:lang w:val="en-ZA"/>
        </w:rPr>
        <w:t xml:space="preserve">and </w:t>
      </w:r>
      <w:r w:rsidR="004875B8">
        <w:rPr>
          <w:iCs/>
          <w:lang w:val="en-ZA"/>
        </w:rPr>
        <w:t>(b), respectively</w:t>
      </w:r>
      <w:r>
        <w:rPr>
          <w:iCs/>
          <w:lang w:val="en-ZA"/>
        </w:rPr>
        <w:t>.</w:t>
      </w:r>
    </w:p>
    <w:p w:rsidR="00A552A5" w:rsidRDefault="003D129C" w:rsidP="00A552A5">
      <w:pPr>
        <w:pStyle w:val="BodyText"/>
        <w:rPr>
          <w:iCs/>
          <w:lang w:val="en-ZA"/>
        </w:rPr>
      </w:pPr>
      <w:r>
        <w:rPr>
          <w:iCs/>
        </w:rPr>
        <w:t xml:space="preserve">The effect of the two external heat fluxes, </w:t>
      </w:r>
      <w:r w:rsidRPr="00190CD6">
        <w:t>35 and 50 kW/m</w:t>
      </w:r>
      <w:r w:rsidRPr="00190CD6">
        <w:rPr>
          <w:vertAlign w:val="superscript"/>
        </w:rPr>
        <w:t>2</w:t>
      </w:r>
      <w:r>
        <w:t>,</w:t>
      </w:r>
      <w:r>
        <w:rPr>
          <w:vertAlign w:val="superscript"/>
        </w:rPr>
        <w:t xml:space="preserve"> </w:t>
      </w:r>
      <w:r>
        <w:rPr>
          <w:iCs/>
        </w:rPr>
        <w:t xml:space="preserve">on a sample is shown in </w:t>
      </w:r>
      <w:r>
        <w:rPr>
          <w:iCs/>
          <w:lang w:val="en-ZA"/>
        </w:rPr>
        <w:t xml:space="preserve">Figure 3 </w:t>
      </w:r>
      <w:r>
        <w:rPr>
          <w:iCs/>
        </w:rPr>
        <w:t xml:space="preserve">(a) </w:t>
      </w:r>
      <w:r>
        <w:rPr>
          <w:iCs/>
          <w:lang w:val="en-ZA"/>
        </w:rPr>
        <w:t xml:space="preserve">the </w:t>
      </w:r>
      <w:r w:rsidRPr="00190CD6">
        <w:t xml:space="preserve">Neat </w:t>
      </w:r>
      <w:r>
        <w:t>Ampreg</w:t>
      </w:r>
      <w:r w:rsidR="0008637C">
        <w:t>21</w:t>
      </w:r>
      <w:r w:rsidRPr="00190CD6">
        <w:t xml:space="preserve"> </w:t>
      </w:r>
      <w:r>
        <w:t xml:space="preserve">and (b) </w:t>
      </w:r>
      <w:r w:rsidR="0008637C">
        <w:rPr>
          <w:noProof/>
        </w:rPr>
        <w:t>Ampreg</w:t>
      </w:r>
      <w:r w:rsidR="0008637C" w:rsidRPr="00190CD6">
        <w:rPr>
          <w:noProof/>
        </w:rPr>
        <w:t xml:space="preserve">-0.46 wt% Bi </w:t>
      </w:r>
      <w:r w:rsidR="0008637C">
        <w:rPr>
          <w:noProof/>
        </w:rPr>
        <w:t xml:space="preserve">binary composite </w:t>
      </w:r>
      <w:r w:rsidR="0008637C" w:rsidRPr="00190CD6">
        <w:rPr>
          <w:noProof/>
        </w:rPr>
        <w:t>sample</w:t>
      </w:r>
      <w:r w:rsidR="0008637C">
        <w:rPr>
          <w:noProof/>
        </w:rPr>
        <w:t>s.</w:t>
      </w:r>
      <w:r w:rsidRPr="00190CD6">
        <w:t xml:space="preserve"> </w:t>
      </w:r>
      <w:r w:rsidR="00553E10">
        <w:t>Other samples were measured in similar way.</w:t>
      </w:r>
    </w:p>
    <w:p w:rsidR="002D6A8D" w:rsidRDefault="00A552A5" w:rsidP="002D6A8D">
      <w:pPr>
        <w:ind w:left="0"/>
        <w:jc w:val="both"/>
      </w:pPr>
      <w:r>
        <w:rPr>
          <w:iCs/>
        </w:rPr>
        <w:t xml:space="preserve">The </w:t>
      </w:r>
      <w:r w:rsidR="002D6A8D">
        <w:t xml:space="preserve">overall results of the thermal performance of the samples are displayed in Tables 1 and 2, for </w:t>
      </w:r>
      <w:r>
        <w:t>external heat flux irradiations of 35 and 50 kW/m</w:t>
      </w:r>
      <w:r w:rsidRPr="00A552A5">
        <w:rPr>
          <w:vertAlign w:val="superscript"/>
        </w:rPr>
        <w:t>2</w:t>
      </w:r>
      <w:r>
        <w:t>, respectively.</w:t>
      </w:r>
    </w:p>
    <w:p w:rsidR="006E582F" w:rsidRPr="003D129C" w:rsidRDefault="006E582F" w:rsidP="003D129C">
      <w:pPr>
        <w:ind w:left="0"/>
      </w:pPr>
    </w:p>
    <w:p w:rsidR="004875B8" w:rsidRDefault="004875B8" w:rsidP="001903DD">
      <w:pPr>
        <w:pStyle w:val="BodyText"/>
        <w:rPr>
          <w:iCs/>
          <w:lang w:val="en-ZA"/>
        </w:rPr>
      </w:pPr>
    </w:p>
    <w:p w:rsidR="008D296F" w:rsidRDefault="00DF5255" w:rsidP="001903DD">
      <w:pPr>
        <w:pStyle w:val="BodyText"/>
      </w:pPr>
      <w:r>
        <w:rPr>
          <w:noProof/>
        </w:rPr>
        <mc:AlternateContent>
          <mc:Choice Requires="wps">
            <w:drawing>
              <wp:anchor distT="0" distB="0" distL="114300" distR="114300" simplePos="0" relativeHeight="251664384" behindDoc="0" locked="0" layoutInCell="1" allowOverlap="1" wp14:anchorId="4F357D6D" wp14:editId="5219A254">
                <wp:simplePos x="0" y="0"/>
                <wp:positionH relativeFrom="column">
                  <wp:posOffset>3324028</wp:posOffset>
                </wp:positionH>
                <wp:positionV relativeFrom="paragraph">
                  <wp:posOffset>52289</wp:posOffset>
                </wp:positionV>
                <wp:extent cx="415159" cy="257503"/>
                <wp:effectExtent l="0" t="0" r="4445" b="9525"/>
                <wp:wrapNone/>
                <wp:docPr id="13" name="Text Box 13"/>
                <wp:cNvGraphicFramePr/>
                <a:graphic xmlns:a="http://schemas.openxmlformats.org/drawingml/2006/main">
                  <a:graphicData uri="http://schemas.microsoft.com/office/word/2010/wordprocessingShape">
                    <wps:wsp>
                      <wps:cNvSpPr txBox="1"/>
                      <wps:spPr>
                        <a:xfrm>
                          <a:off x="0" y="0"/>
                          <a:ext cx="415159" cy="257503"/>
                        </a:xfrm>
                        <a:prstGeom prst="rect">
                          <a:avLst/>
                        </a:prstGeom>
                        <a:solidFill>
                          <a:schemeClr val="lt1"/>
                        </a:solidFill>
                        <a:ln w="6350">
                          <a:noFill/>
                        </a:ln>
                      </wps:spPr>
                      <wps:txbx>
                        <w:txbxContent>
                          <w:p w:rsidR="005237F3" w:rsidRPr="00784C83" w:rsidRDefault="005237F3" w:rsidP="00784C83">
                            <w:pPr>
                              <w:ind w:left="0"/>
                              <w:rPr>
                                <w:lang w:val="en-US"/>
                              </w:rPr>
                            </w:pPr>
                            <w:r>
                              <w:rPr>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57D6D" id="_x0000_t202" coordsize="21600,21600" o:spt="202" path="m,l,21600r21600,l21600,xe">
                <v:stroke joinstyle="miter"/>
                <v:path gradientshapeok="t" o:connecttype="rect"/>
              </v:shapetype>
              <v:shape id="Text Box 13" o:spid="_x0000_s1026" type="#_x0000_t202" style="position:absolute;left:0;text-align:left;margin-left:261.75pt;margin-top:4.1pt;width:32.7pt;height:2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" fillcolor="white [3201]" stroked="f" strokeweight=".5pt">
                <v:textbox>
                  <w:txbxContent>
                    <w:p w:rsidR="005237F3" w:rsidRPr="00784C83" w:rsidRDefault="005237F3" w:rsidP="00784C83">
                      <w:pPr>
                        <w:ind w:left="0"/>
                        <w:rPr>
                          <w:lang w:val="en-US"/>
                        </w:rPr>
                      </w:pPr>
                      <w:r>
                        <w:rPr>
                          <w:lang w:val="en-US"/>
                        </w:rPr>
                        <w:t>(b)</w:t>
                      </w:r>
                    </w:p>
                  </w:txbxContent>
                </v:textbox>
              </v:shape>
            </w:pict>
          </mc:Fallback>
        </mc:AlternateContent>
      </w:r>
      <w:r w:rsidR="00FE2802">
        <w:rPr>
          <w:noProof/>
        </w:rPr>
        <mc:AlternateContent>
          <mc:Choice Requires="wps">
            <w:drawing>
              <wp:anchor distT="0" distB="0" distL="114300" distR="114300" simplePos="0" relativeHeight="251666432" behindDoc="0" locked="0" layoutInCell="1" allowOverlap="1" wp14:anchorId="4F357D6D" wp14:editId="5219A254">
                <wp:simplePos x="0" y="0"/>
                <wp:positionH relativeFrom="column">
                  <wp:posOffset>449734</wp:posOffset>
                </wp:positionH>
                <wp:positionV relativeFrom="paragraph">
                  <wp:posOffset>141408</wp:posOffset>
                </wp:positionV>
                <wp:extent cx="373117" cy="257503"/>
                <wp:effectExtent l="0" t="0" r="8255" b="9525"/>
                <wp:wrapNone/>
                <wp:docPr id="14" name="Text Box 14"/>
                <wp:cNvGraphicFramePr/>
                <a:graphic xmlns:a="http://schemas.openxmlformats.org/drawingml/2006/main">
                  <a:graphicData uri="http://schemas.microsoft.com/office/word/2010/wordprocessingShape">
                    <wps:wsp>
                      <wps:cNvSpPr txBox="1"/>
                      <wps:spPr>
                        <a:xfrm>
                          <a:off x="0" y="0"/>
                          <a:ext cx="373117" cy="257503"/>
                        </a:xfrm>
                        <a:prstGeom prst="rect">
                          <a:avLst/>
                        </a:prstGeom>
                        <a:solidFill>
                          <a:schemeClr val="lt1"/>
                        </a:solidFill>
                        <a:ln w="6350">
                          <a:noFill/>
                        </a:ln>
                      </wps:spPr>
                      <wps:txbx>
                        <w:txbxContent>
                          <w:p w:rsidR="005237F3" w:rsidRPr="00784C83" w:rsidRDefault="005237F3" w:rsidP="00784C83">
                            <w:pPr>
                              <w:ind w:left="0"/>
                              <w:rPr>
                                <w:lang w:val="en-US"/>
                              </w:rPr>
                            </w:pPr>
                            <w:r>
                              <w:rPr>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57D6D" id="Text Box 14" o:spid="_x0000_s1027" type="#_x0000_t202" style="position:absolute;left:0;text-align:left;margin-left:35.4pt;margin-top:11.15pt;width:29.4pt;height:2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" fillcolor="white [3201]" stroked="f" strokeweight=".5pt">
                <v:textbox>
                  <w:txbxContent>
                    <w:p w:rsidR="005237F3" w:rsidRPr="00784C83" w:rsidRDefault="005237F3" w:rsidP="00784C83">
                      <w:pPr>
                        <w:ind w:left="0"/>
                        <w:rPr>
                          <w:lang w:val="en-US"/>
                        </w:rPr>
                      </w:pPr>
                      <w:r>
                        <w:rPr>
                          <w:lang w:val="en-US"/>
                        </w:rPr>
                        <w:t>(a)</w:t>
                      </w:r>
                    </w:p>
                  </w:txbxContent>
                </v:textbox>
              </v:shape>
            </w:pict>
          </mc:Fallback>
        </mc:AlternateContent>
      </w:r>
      <w:r w:rsidR="004875B8" w:rsidRPr="00450212">
        <w:rPr>
          <w:noProof/>
        </w:rPr>
        <w:drawing>
          <wp:inline distT="0" distB="0" distL="0" distR="0" wp14:anchorId="7956B079" wp14:editId="0DBD1130">
            <wp:extent cx="2648607" cy="1948815"/>
            <wp:effectExtent l="19050" t="19050" r="18415" b="13335"/>
            <wp:docPr id="1" name="Picture 1" descr="A graph of a graph showing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55702" name="Picture 1" descr="A graph of a graph showing different colored lines&#10;&#10;AI-generated content may be incorrect."/>
                    <pic:cNvPicPr/>
                  </pic:nvPicPr>
                  <pic:blipFill rotWithShape="1">
                    <a:blip r:embed="rId9"/>
                    <a:srcRect l="2202" t="4584" r="2122"/>
                    <a:stretch>
                      <a:fillRect/>
                    </a:stretch>
                  </pic:blipFill>
                  <pic:spPr bwMode="auto">
                    <a:xfrm>
                      <a:off x="0" y="0"/>
                      <a:ext cx="2690782" cy="1979847"/>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r w:rsidR="004875B8">
        <w:t xml:space="preserve"> </w:t>
      </w:r>
      <w:r w:rsidR="00FE2802">
        <w:t xml:space="preserve">  </w:t>
      </w:r>
      <w:r w:rsidR="004875B8" w:rsidRPr="00FD103C">
        <w:rPr>
          <w:noProof/>
        </w:rPr>
        <w:drawing>
          <wp:inline distT="0" distB="0" distL="0" distR="0" wp14:anchorId="0FAD09CA" wp14:editId="7C5D4BF1">
            <wp:extent cx="2716530" cy="1936452"/>
            <wp:effectExtent l="19050" t="19050" r="26670" b="26035"/>
            <wp:docPr id="646873280" name="Picture 1" descr="A graph of a number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873280" name="Picture 1" descr="A graph of a number of different colored lines&#10;&#10;AI-generated content may be incorrect."/>
                    <pic:cNvPicPr/>
                  </pic:nvPicPr>
                  <pic:blipFill rotWithShape="1">
                    <a:blip r:embed="rId10"/>
                    <a:srcRect l="1814" t="4905" r="3055"/>
                    <a:stretch>
                      <a:fillRect/>
                    </a:stretch>
                  </pic:blipFill>
                  <pic:spPr bwMode="auto">
                    <a:xfrm>
                      <a:off x="0" y="0"/>
                      <a:ext cx="2747593" cy="1958595"/>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rsidR="004875B8" w:rsidRDefault="004875B8" w:rsidP="001903DD">
      <w:pPr>
        <w:pStyle w:val="BodyText"/>
      </w:pPr>
      <w:r w:rsidRPr="0099768D">
        <w:t xml:space="preserve">Figure </w:t>
      </w:r>
      <w:r>
        <w:t>2</w:t>
      </w:r>
      <w:r w:rsidRPr="0099768D">
        <w:t>:</w:t>
      </w:r>
      <w:r w:rsidRPr="0099768D">
        <w:rPr>
          <w:spacing w:val="23"/>
        </w:rPr>
        <w:t xml:space="preserve"> </w:t>
      </w:r>
      <w:r w:rsidR="003D129C">
        <w:rPr>
          <w:spacing w:val="23"/>
        </w:rPr>
        <w:t>(a)</w:t>
      </w:r>
      <w:r w:rsidR="003D129C" w:rsidRPr="003D129C">
        <w:rPr>
          <w:rFonts w:ascii="Arial" w:eastAsiaTheme="minorEastAsia" w:hAnsi="Arial" w:cstheme="minorBidi"/>
          <w:b/>
          <w:bCs/>
          <w:color w:val="0000FF"/>
          <w:kern w:val="24"/>
          <w:sz w:val="32"/>
          <w:szCs w:val="32"/>
          <w:lang w:val="en-ZA" w:eastAsia="en-GB"/>
        </w:rPr>
        <w:t xml:space="preserve"> </w:t>
      </w:r>
      <w:r w:rsidR="003D129C" w:rsidRPr="003D129C">
        <w:rPr>
          <w:bCs/>
          <w:spacing w:val="23"/>
          <w:lang w:val="en-ZA"/>
        </w:rPr>
        <w:t xml:space="preserve">HRR </w:t>
      </w:r>
      <w:r w:rsidR="003D129C">
        <w:rPr>
          <w:bCs/>
          <w:spacing w:val="23"/>
          <w:lang w:val="en-ZA"/>
        </w:rPr>
        <w:t xml:space="preserve">and (b) SPR </w:t>
      </w:r>
      <w:r w:rsidR="003D129C" w:rsidRPr="003D129C">
        <w:rPr>
          <w:bCs/>
          <w:spacing w:val="23"/>
          <w:lang w:val="en-ZA"/>
        </w:rPr>
        <w:t>profiles of samples irradiated at 35 kW/m</w:t>
      </w:r>
      <w:r w:rsidR="003D129C" w:rsidRPr="003D129C">
        <w:rPr>
          <w:bCs/>
          <w:spacing w:val="23"/>
          <w:vertAlign w:val="superscript"/>
          <w:lang w:val="en-ZA"/>
        </w:rPr>
        <w:t>2</w:t>
      </w:r>
    </w:p>
    <w:p w:rsidR="008D296F" w:rsidRDefault="008D296F" w:rsidP="001903DD">
      <w:pPr>
        <w:pStyle w:val="BodyText"/>
      </w:pPr>
    </w:p>
    <w:p w:rsidR="008D296F" w:rsidRDefault="00DF5255" w:rsidP="001903DD">
      <w:pPr>
        <w:pStyle w:val="BodyText"/>
      </w:pPr>
      <w:r>
        <w:rPr>
          <w:noProof/>
        </w:rPr>
        <mc:AlternateContent>
          <mc:Choice Requires="wps">
            <w:drawing>
              <wp:anchor distT="0" distB="0" distL="114300" distR="114300" simplePos="0" relativeHeight="251662336" behindDoc="0" locked="0" layoutInCell="1" allowOverlap="1" wp14:anchorId="4F357D6D" wp14:editId="5219A254">
                <wp:simplePos x="0" y="0"/>
                <wp:positionH relativeFrom="column">
                  <wp:posOffset>3308022</wp:posOffset>
                </wp:positionH>
                <wp:positionV relativeFrom="paragraph">
                  <wp:posOffset>78127</wp:posOffset>
                </wp:positionV>
                <wp:extent cx="430924" cy="257503"/>
                <wp:effectExtent l="0" t="0" r="7620" b="9525"/>
                <wp:wrapNone/>
                <wp:docPr id="12" name="Text Box 12"/>
                <wp:cNvGraphicFramePr/>
                <a:graphic xmlns:a="http://schemas.openxmlformats.org/drawingml/2006/main">
                  <a:graphicData uri="http://schemas.microsoft.com/office/word/2010/wordprocessingShape">
                    <wps:wsp>
                      <wps:cNvSpPr txBox="1"/>
                      <wps:spPr>
                        <a:xfrm>
                          <a:off x="0" y="0"/>
                          <a:ext cx="430924" cy="257503"/>
                        </a:xfrm>
                        <a:prstGeom prst="rect">
                          <a:avLst/>
                        </a:prstGeom>
                        <a:solidFill>
                          <a:schemeClr val="lt1"/>
                        </a:solidFill>
                        <a:ln w="6350">
                          <a:noFill/>
                        </a:ln>
                      </wps:spPr>
                      <wps:txbx>
                        <w:txbxContent>
                          <w:p w:rsidR="005237F3" w:rsidRPr="00784C83" w:rsidRDefault="005237F3" w:rsidP="00784C83">
                            <w:pPr>
                              <w:ind w:left="0"/>
                              <w:rPr>
                                <w:lang w:val="en-US"/>
                              </w:rPr>
                            </w:pPr>
                            <w:r>
                              <w:rPr>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57D6D" id="Text Box 12" o:spid="_x0000_s1028" type="#_x0000_t202" style="position:absolute;left:0;text-align:left;margin-left:260.45pt;margin-top:6.15pt;width:33.95pt;height:2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" fillcolor="white [3201]" stroked="f" strokeweight=".5pt">
                <v:textbox>
                  <w:txbxContent>
                    <w:p w:rsidR="005237F3" w:rsidRPr="00784C83" w:rsidRDefault="005237F3" w:rsidP="00784C83">
                      <w:pPr>
                        <w:ind w:left="0"/>
                        <w:rPr>
                          <w:lang w:val="en-US"/>
                        </w:rPr>
                      </w:pPr>
                      <w:r>
                        <w:rPr>
                          <w:lang w:val="en-US"/>
                        </w:rPr>
                        <w:t>(b)</w:t>
                      </w:r>
                    </w:p>
                  </w:txbxContent>
                </v:textbox>
              </v:shape>
            </w:pict>
          </mc:Fallback>
        </mc:AlternateContent>
      </w:r>
      <w:r w:rsidR="00FE2802">
        <w:rPr>
          <w:noProof/>
        </w:rPr>
        <mc:AlternateContent>
          <mc:Choice Requires="wps">
            <w:drawing>
              <wp:anchor distT="0" distB="0" distL="114300" distR="114300" simplePos="0" relativeHeight="251660288" behindDoc="0" locked="0" layoutInCell="1" allowOverlap="1">
                <wp:simplePos x="0" y="0"/>
                <wp:positionH relativeFrom="column">
                  <wp:posOffset>544283</wp:posOffset>
                </wp:positionH>
                <wp:positionV relativeFrom="paragraph">
                  <wp:posOffset>68186</wp:posOffset>
                </wp:positionV>
                <wp:extent cx="373117" cy="257503"/>
                <wp:effectExtent l="0" t="0" r="8255" b="9525"/>
                <wp:wrapNone/>
                <wp:docPr id="11" name="Text Box 11"/>
                <wp:cNvGraphicFramePr/>
                <a:graphic xmlns:a="http://schemas.openxmlformats.org/drawingml/2006/main">
                  <a:graphicData uri="http://schemas.microsoft.com/office/word/2010/wordprocessingShape">
                    <wps:wsp>
                      <wps:cNvSpPr txBox="1"/>
                      <wps:spPr>
                        <a:xfrm>
                          <a:off x="0" y="0"/>
                          <a:ext cx="373117" cy="257503"/>
                        </a:xfrm>
                        <a:prstGeom prst="rect">
                          <a:avLst/>
                        </a:prstGeom>
                        <a:solidFill>
                          <a:schemeClr val="lt1"/>
                        </a:solidFill>
                        <a:ln w="6350">
                          <a:noFill/>
                        </a:ln>
                      </wps:spPr>
                      <wps:txbx>
                        <w:txbxContent>
                          <w:p w:rsidR="005237F3" w:rsidRPr="00784C83" w:rsidRDefault="005237F3">
                            <w:pPr>
                              <w:ind w:left="0"/>
                              <w:rPr>
                                <w:lang w:val="en-US"/>
                              </w:rPr>
                            </w:pPr>
                            <w:r>
                              <w:rPr>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left:0;text-align:left;margin-left:42.85pt;margin-top:5.35pt;width:29.4pt;height:2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" fillcolor="white [3201]" stroked="f" strokeweight=".5pt">
                <v:textbox>
                  <w:txbxContent>
                    <w:p w:rsidR="005237F3" w:rsidRPr="00784C83" w:rsidRDefault="005237F3">
                      <w:pPr>
                        <w:ind w:left="0"/>
                        <w:rPr>
                          <w:lang w:val="en-US"/>
                        </w:rPr>
                      </w:pPr>
                      <w:r>
                        <w:rPr>
                          <w:lang w:val="en-US"/>
                        </w:rPr>
                        <w:t>(a)</w:t>
                      </w:r>
                    </w:p>
                  </w:txbxContent>
                </v:textbox>
              </v:shape>
            </w:pict>
          </mc:Fallback>
        </mc:AlternateContent>
      </w:r>
      <w:r w:rsidR="0008637C">
        <w:rPr>
          <w:noProof/>
        </w:rPr>
        <w:drawing>
          <wp:inline distT="0" distB="0" distL="0" distR="0" wp14:anchorId="63B7EBD9" wp14:editId="21DFCC5C">
            <wp:extent cx="2696162" cy="1927466"/>
            <wp:effectExtent l="19050" t="19050" r="28575" b="15875"/>
            <wp:docPr id="846191603" name="Picture 1" descr="A graph of a graph showing a number of electri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191603" name="Picture 1" descr="A graph of a graph showing a number of electricity&#10;&#10;AI-generated content may be incorrect."/>
                    <pic:cNvPicPr>
                      <a:picLocks noChangeAspect="1"/>
                    </pic:cNvPicPr>
                  </pic:nvPicPr>
                  <pic:blipFill rotWithShape="1">
                    <a:blip r:embed="rId11">
                      <a:extLst>
                        <a:ext uri="{28A0092B-C50C-407E-A947-70E740481C1C}">
                          <a14:useLocalDpi xmlns:a14="http://schemas.microsoft.com/office/drawing/2010/main" val="0"/>
                        </a:ext>
                      </a:extLst>
                    </a:blip>
                    <a:srcRect l="1458" t="7586" r="834"/>
                    <a:stretch>
                      <a:fillRect/>
                    </a:stretch>
                  </pic:blipFill>
                  <pic:spPr bwMode="auto">
                    <a:xfrm>
                      <a:off x="0" y="0"/>
                      <a:ext cx="2705772" cy="1934336"/>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r w:rsidR="00FE2802">
        <w:t xml:space="preserve"> </w:t>
      </w:r>
      <w:r w:rsidR="0008637C" w:rsidRPr="00B06D26">
        <w:rPr>
          <w:noProof/>
        </w:rPr>
        <w:drawing>
          <wp:inline distT="0" distB="0" distL="0" distR="0" wp14:anchorId="36EBB7B4" wp14:editId="0BF34072">
            <wp:extent cx="2748280" cy="1931045"/>
            <wp:effectExtent l="19050" t="19050" r="13970" b="12065"/>
            <wp:docPr id="7026459" name="Picture 1" descr="A graph of a graph showing the value of a number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6459" name="Picture 1" descr="A graph of a graph showing the value of a number of data&#10;&#10;AI-generated content may be incorrect."/>
                    <pic:cNvPicPr/>
                  </pic:nvPicPr>
                  <pic:blipFill rotWithShape="1">
                    <a:blip r:embed="rId12"/>
                    <a:srcRect l="-597" t="3516" r="597" b="1174"/>
                    <a:stretch>
                      <a:fillRect/>
                    </a:stretch>
                  </pic:blipFill>
                  <pic:spPr bwMode="auto">
                    <a:xfrm>
                      <a:off x="0" y="0"/>
                      <a:ext cx="2775263" cy="1950004"/>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rsidR="00DF5255" w:rsidRPr="00DF5255" w:rsidRDefault="00DF5255" w:rsidP="00DF5255">
      <w:pPr>
        <w:pStyle w:val="Tabletitle"/>
        <w:rPr>
          <w:bCs/>
          <w:spacing w:val="23"/>
          <w:lang w:val="en-ZA"/>
        </w:rPr>
      </w:pPr>
      <w:r w:rsidRPr="0099768D">
        <w:t xml:space="preserve"> </w:t>
      </w:r>
      <w:r w:rsidR="0008637C" w:rsidRPr="0099768D">
        <w:t xml:space="preserve">Figure </w:t>
      </w:r>
      <w:r w:rsidR="0008637C">
        <w:t>3</w:t>
      </w:r>
      <w:r w:rsidR="0008637C" w:rsidRPr="0099768D">
        <w:t>:</w:t>
      </w:r>
      <w:r w:rsidR="0008637C" w:rsidRPr="0099768D">
        <w:rPr>
          <w:spacing w:val="23"/>
        </w:rPr>
        <w:t xml:space="preserve"> </w:t>
      </w:r>
      <w:r w:rsidR="0008637C">
        <w:rPr>
          <w:spacing w:val="23"/>
        </w:rPr>
        <w:t>(a)Ampreg21neat and (b)</w:t>
      </w:r>
      <w:r w:rsidR="0008637C" w:rsidRPr="0008637C">
        <w:rPr>
          <w:noProof/>
        </w:rPr>
        <w:t xml:space="preserve"> </w:t>
      </w:r>
      <w:r w:rsidR="0008637C">
        <w:rPr>
          <w:noProof/>
        </w:rPr>
        <w:t>Ampreg</w:t>
      </w:r>
      <w:r w:rsidR="0008637C" w:rsidRPr="00190CD6">
        <w:rPr>
          <w:noProof/>
        </w:rPr>
        <w:t xml:space="preserve">-0.46 wt% Bi </w:t>
      </w:r>
      <w:r w:rsidR="0008637C">
        <w:rPr>
          <w:noProof/>
        </w:rPr>
        <w:t>binary composite</w:t>
      </w:r>
      <w:r w:rsidR="0008637C" w:rsidRPr="003D129C">
        <w:rPr>
          <w:rFonts w:ascii="Arial" w:eastAsiaTheme="minorEastAsia" w:hAnsi="Arial" w:cstheme="minorBidi"/>
          <w:b/>
          <w:bCs/>
          <w:color w:val="0000FF"/>
          <w:kern w:val="24"/>
          <w:sz w:val="32"/>
          <w:szCs w:val="32"/>
          <w:lang w:val="en-ZA" w:eastAsia="en-GB"/>
        </w:rPr>
        <w:t xml:space="preserve"> </w:t>
      </w:r>
      <w:r w:rsidR="0008637C" w:rsidRPr="003D129C">
        <w:rPr>
          <w:bCs/>
          <w:spacing w:val="23"/>
          <w:lang w:val="en-ZA"/>
        </w:rPr>
        <w:t>samples irradiated at 35</w:t>
      </w:r>
      <w:r w:rsidR="0008637C">
        <w:rPr>
          <w:bCs/>
          <w:spacing w:val="23"/>
          <w:lang w:val="en-ZA"/>
        </w:rPr>
        <w:t xml:space="preserve"> </w:t>
      </w:r>
      <w:r>
        <w:rPr>
          <w:bCs/>
          <w:spacing w:val="23"/>
          <w:lang w:val="en-ZA"/>
        </w:rPr>
        <w:t>and 50</w:t>
      </w:r>
      <w:r w:rsidRPr="003D129C">
        <w:rPr>
          <w:bCs/>
          <w:spacing w:val="23"/>
          <w:lang w:val="en-ZA"/>
        </w:rPr>
        <w:t xml:space="preserve"> kW/m</w:t>
      </w:r>
      <w:r w:rsidRPr="003D129C">
        <w:rPr>
          <w:bCs/>
          <w:spacing w:val="23"/>
          <w:vertAlign w:val="superscript"/>
          <w:lang w:val="en-ZA"/>
        </w:rPr>
        <w:t>2</w:t>
      </w:r>
    </w:p>
    <w:tbl>
      <w:tblPr>
        <w:tblpPr w:leftFromText="180" w:rightFromText="180" w:vertAnchor="page" w:horzAnchor="margin" w:tblpY="11191"/>
        <w:tblW w:w="5000" w:type="pct"/>
        <w:tblCellMar>
          <w:left w:w="0" w:type="dxa"/>
          <w:right w:w="0" w:type="dxa"/>
        </w:tblCellMar>
        <w:tblLook w:val="01E0" w:firstRow="1" w:lastRow="1" w:firstColumn="1" w:lastColumn="1" w:noHBand="0" w:noVBand="0"/>
      </w:tblPr>
      <w:tblGrid>
        <w:gridCol w:w="1445"/>
        <w:gridCol w:w="1357"/>
        <w:gridCol w:w="1363"/>
        <w:gridCol w:w="1049"/>
        <w:gridCol w:w="1160"/>
        <w:gridCol w:w="1368"/>
        <w:gridCol w:w="1332"/>
      </w:tblGrid>
      <w:tr w:rsidR="00DF5255" w:rsidRPr="0099768D" w:rsidTr="00DF5255">
        <w:trPr>
          <w:trHeight w:val="260"/>
        </w:trPr>
        <w:tc>
          <w:tcPr>
            <w:tcW w:w="796" w:type="pct"/>
            <w:tcBorders>
              <w:top w:val="double" w:sz="4" w:space="0" w:color="000000"/>
            </w:tcBorders>
          </w:tcPr>
          <w:p w:rsidR="00DF5255" w:rsidRPr="0099768D" w:rsidRDefault="00DF5255" w:rsidP="00DF5255">
            <w:pPr>
              <w:jc w:val="center"/>
            </w:pPr>
            <w:r>
              <w:t>Sample 35 (kW/m</w:t>
            </w:r>
            <w:r>
              <w:rPr>
                <w:vertAlign w:val="superscript"/>
              </w:rPr>
              <w:t>2</w:t>
            </w:r>
            <w:r>
              <w:t>)</w:t>
            </w:r>
          </w:p>
        </w:tc>
        <w:tc>
          <w:tcPr>
            <w:tcW w:w="748" w:type="pct"/>
            <w:tcBorders>
              <w:top w:val="double" w:sz="4" w:space="0" w:color="000000"/>
            </w:tcBorders>
          </w:tcPr>
          <w:p w:rsidR="00DF5255" w:rsidRPr="0099768D" w:rsidRDefault="00DF5255" w:rsidP="00DF5255">
            <w:pPr>
              <w:jc w:val="center"/>
            </w:pPr>
            <w:r>
              <w:t>Time to ignition (s)</w:t>
            </w:r>
          </w:p>
        </w:tc>
        <w:tc>
          <w:tcPr>
            <w:tcW w:w="751" w:type="pct"/>
            <w:tcBorders>
              <w:top w:val="double" w:sz="4" w:space="0" w:color="000000"/>
            </w:tcBorders>
          </w:tcPr>
          <w:p w:rsidR="00DF5255" w:rsidRPr="0099768D" w:rsidRDefault="00DF5255" w:rsidP="00DF5255">
            <w:pPr>
              <w:jc w:val="center"/>
            </w:pPr>
            <w:r>
              <w:t>Peak HRR (kw/m</w:t>
            </w:r>
            <w:r>
              <w:rPr>
                <w:vertAlign w:val="superscript"/>
              </w:rPr>
              <w:t>2</w:t>
            </w:r>
            <w:r>
              <w:t>)</w:t>
            </w:r>
          </w:p>
        </w:tc>
        <w:tc>
          <w:tcPr>
            <w:tcW w:w="578" w:type="pct"/>
            <w:tcBorders>
              <w:top w:val="double" w:sz="4" w:space="0" w:color="000000"/>
            </w:tcBorders>
          </w:tcPr>
          <w:p w:rsidR="00DF5255" w:rsidRPr="0099768D" w:rsidRDefault="00DF5255" w:rsidP="00DF5255">
            <w:pPr>
              <w:jc w:val="center"/>
            </w:pPr>
            <w:r>
              <w:t>FIGRA (W/s)</w:t>
            </w:r>
          </w:p>
        </w:tc>
        <w:tc>
          <w:tcPr>
            <w:tcW w:w="639" w:type="pct"/>
            <w:tcBorders>
              <w:top w:val="double" w:sz="4" w:space="0" w:color="000000"/>
            </w:tcBorders>
          </w:tcPr>
          <w:p w:rsidR="00DF5255" w:rsidRPr="006C09CE" w:rsidRDefault="00DF5255" w:rsidP="00DF5255">
            <w:pPr>
              <w:jc w:val="center"/>
            </w:pPr>
            <w:r>
              <w:t>Peak SPR (m</w:t>
            </w:r>
            <w:r>
              <w:rPr>
                <w:vertAlign w:val="superscript"/>
              </w:rPr>
              <w:t>2</w:t>
            </w:r>
            <w:r>
              <w:t>/s)</w:t>
            </w:r>
          </w:p>
        </w:tc>
        <w:tc>
          <w:tcPr>
            <w:tcW w:w="754" w:type="pct"/>
            <w:tcBorders>
              <w:top w:val="double" w:sz="4" w:space="0" w:color="000000"/>
            </w:tcBorders>
          </w:tcPr>
          <w:p w:rsidR="00DF5255" w:rsidRPr="004C0CA5" w:rsidRDefault="00DF5255" w:rsidP="00DF5255">
            <w:pPr>
              <w:jc w:val="center"/>
            </w:pPr>
            <w:r>
              <w:t>SMOGRA (m</w:t>
            </w:r>
            <w:r>
              <w:rPr>
                <w:vertAlign w:val="superscript"/>
              </w:rPr>
              <w:t>2</w:t>
            </w:r>
            <w:r>
              <w:t>/s</w:t>
            </w:r>
            <w:r>
              <w:rPr>
                <w:vertAlign w:val="superscript"/>
              </w:rPr>
              <w:t>2</w:t>
            </w:r>
            <w:r>
              <w:t>)</w:t>
            </w:r>
          </w:p>
        </w:tc>
        <w:tc>
          <w:tcPr>
            <w:tcW w:w="734" w:type="pct"/>
            <w:tcBorders>
              <w:top w:val="double" w:sz="4" w:space="0" w:color="000000"/>
            </w:tcBorders>
          </w:tcPr>
          <w:p w:rsidR="00DF5255" w:rsidRPr="008E046E" w:rsidRDefault="00DF5255" w:rsidP="00DF5255">
            <w:pPr>
              <w:jc w:val="center"/>
            </w:pPr>
            <w:r>
              <w:t>MARHE (kW/m</w:t>
            </w:r>
            <w:r>
              <w:rPr>
                <w:vertAlign w:val="superscript"/>
              </w:rPr>
              <w:t>2</w:t>
            </w:r>
            <w:r>
              <w:t>)</w:t>
            </w:r>
          </w:p>
        </w:tc>
      </w:tr>
      <w:tr w:rsidR="00DF5255" w:rsidRPr="0099768D" w:rsidTr="00DF5255">
        <w:trPr>
          <w:trHeight w:val="260"/>
        </w:trPr>
        <w:tc>
          <w:tcPr>
            <w:tcW w:w="796" w:type="pct"/>
            <w:tcBorders>
              <w:top w:val="single" w:sz="4" w:space="0" w:color="000000"/>
            </w:tcBorders>
          </w:tcPr>
          <w:p w:rsidR="00DF5255" w:rsidRPr="0099768D" w:rsidRDefault="00DF5255" w:rsidP="00DF5255">
            <w:pPr>
              <w:jc w:val="center"/>
            </w:pPr>
            <w:r>
              <w:t>Neat</w:t>
            </w:r>
          </w:p>
        </w:tc>
        <w:tc>
          <w:tcPr>
            <w:tcW w:w="748" w:type="pct"/>
            <w:tcBorders>
              <w:top w:val="single" w:sz="4" w:space="0" w:color="000000"/>
            </w:tcBorders>
          </w:tcPr>
          <w:p w:rsidR="00DF5255" w:rsidRPr="0099768D" w:rsidRDefault="00DF5255" w:rsidP="00DF5255">
            <w:pPr>
              <w:jc w:val="center"/>
            </w:pPr>
            <w:r>
              <w:t>89</w:t>
            </w:r>
          </w:p>
        </w:tc>
        <w:tc>
          <w:tcPr>
            <w:tcW w:w="751" w:type="pct"/>
            <w:tcBorders>
              <w:top w:val="single" w:sz="4" w:space="0" w:color="000000"/>
            </w:tcBorders>
          </w:tcPr>
          <w:p w:rsidR="00DF5255" w:rsidRPr="0099768D" w:rsidRDefault="00DF5255" w:rsidP="00DF5255">
            <w:pPr>
              <w:jc w:val="center"/>
            </w:pPr>
            <w:r>
              <w:t>819.0</w:t>
            </w:r>
          </w:p>
        </w:tc>
        <w:tc>
          <w:tcPr>
            <w:tcW w:w="578" w:type="pct"/>
            <w:tcBorders>
              <w:top w:val="single" w:sz="4" w:space="0" w:color="000000"/>
            </w:tcBorders>
          </w:tcPr>
          <w:p w:rsidR="00DF5255" w:rsidRPr="0099768D" w:rsidRDefault="00DF5255" w:rsidP="00DF5255">
            <w:pPr>
              <w:jc w:val="center"/>
            </w:pPr>
            <w:r>
              <w:t>2.48</w:t>
            </w:r>
          </w:p>
        </w:tc>
        <w:tc>
          <w:tcPr>
            <w:tcW w:w="639" w:type="pct"/>
            <w:tcBorders>
              <w:top w:val="single" w:sz="4" w:space="0" w:color="000000"/>
            </w:tcBorders>
          </w:tcPr>
          <w:p w:rsidR="00DF5255" w:rsidRDefault="00DF5255" w:rsidP="00DF5255">
            <w:pPr>
              <w:jc w:val="center"/>
            </w:pPr>
            <w:r>
              <w:t>0.183</w:t>
            </w:r>
          </w:p>
        </w:tc>
        <w:tc>
          <w:tcPr>
            <w:tcW w:w="754" w:type="pct"/>
            <w:tcBorders>
              <w:top w:val="single" w:sz="4" w:space="0" w:color="000000"/>
            </w:tcBorders>
          </w:tcPr>
          <w:p w:rsidR="00DF5255" w:rsidRDefault="00DF5255" w:rsidP="00DF5255">
            <w:pPr>
              <w:jc w:val="center"/>
            </w:pPr>
            <w:r>
              <w:t>5.08</w:t>
            </w:r>
          </w:p>
        </w:tc>
        <w:tc>
          <w:tcPr>
            <w:tcW w:w="734" w:type="pct"/>
            <w:tcBorders>
              <w:top w:val="single" w:sz="4" w:space="0" w:color="000000"/>
            </w:tcBorders>
          </w:tcPr>
          <w:p w:rsidR="00DF5255" w:rsidRDefault="00DF5255" w:rsidP="00DF5255">
            <w:pPr>
              <w:jc w:val="center"/>
            </w:pPr>
            <w:r>
              <w:t>416.6</w:t>
            </w:r>
          </w:p>
        </w:tc>
      </w:tr>
      <w:tr w:rsidR="00DF5255" w:rsidRPr="0099768D" w:rsidTr="00DF5255">
        <w:trPr>
          <w:trHeight w:val="266"/>
        </w:trPr>
        <w:tc>
          <w:tcPr>
            <w:tcW w:w="796" w:type="pct"/>
          </w:tcPr>
          <w:p w:rsidR="00DF5255" w:rsidRPr="0099768D" w:rsidRDefault="00DF5255" w:rsidP="00DF5255">
            <w:pPr>
              <w:ind w:left="0"/>
              <w:jc w:val="center"/>
            </w:pPr>
            <w:r>
              <w:t>0.46% Bi</w:t>
            </w:r>
          </w:p>
        </w:tc>
        <w:tc>
          <w:tcPr>
            <w:tcW w:w="748" w:type="pct"/>
          </w:tcPr>
          <w:p w:rsidR="00DF5255" w:rsidRPr="0099768D" w:rsidRDefault="00DF5255" w:rsidP="00DF5255">
            <w:pPr>
              <w:jc w:val="center"/>
            </w:pPr>
            <w:r>
              <w:t>89</w:t>
            </w:r>
          </w:p>
        </w:tc>
        <w:tc>
          <w:tcPr>
            <w:tcW w:w="751" w:type="pct"/>
          </w:tcPr>
          <w:p w:rsidR="00DF5255" w:rsidRPr="0099768D" w:rsidRDefault="00DF5255" w:rsidP="00DF5255">
            <w:pPr>
              <w:jc w:val="center"/>
            </w:pPr>
            <w:r>
              <w:t>745.1</w:t>
            </w:r>
          </w:p>
        </w:tc>
        <w:tc>
          <w:tcPr>
            <w:tcW w:w="578" w:type="pct"/>
          </w:tcPr>
          <w:p w:rsidR="00DF5255" w:rsidRPr="0099768D" w:rsidRDefault="00DF5255" w:rsidP="00DF5255">
            <w:pPr>
              <w:jc w:val="center"/>
            </w:pPr>
            <w:r>
              <w:t>1.94</w:t>
            </w:r>
          </w:p>
        </w:tc>
        <w:tc>
          <w:tcPr>
            <w:tcW w:w="639" w:type="pct"/>
          </w:tcPr>
          <w:p w:rsidR="00DF5255" w:rsidRDefault="00DF5255" w:rsidP="00DF5255">
            <w:pPr>
              <w:jc w:val="center"/>
            </w:pPr>
            <w:r>
              <w:t>0.177</w:t>
            </w:r>
          </w:p>
        </w:tc>
        <w:tc>
          <w:tcPr>
            <w:tcW w:w="754" w:type="pct"/>
          </w:tcPr>
          <w:p w:rsidR="00DF5255" w:rsidRDefault="00DF5255" w:rsidP="00DF5255">
            <w:pPr>
              <w:jc w:val="center"/>
            </w:pPr>
            <w:r>
              <w:t>4.37</w:t>
            </w:r>
          </w:p>
        </w:tc>
        <w:tc>
          <w:tcPr>
            <w:tcW w:w="734" w:type="pct"/>
          </w:tcPr>
          <w:p w:rsidR="00DF5255" w:rsidRDefault="00DF5255" w:rsidP="00DF5255">
            <w:pPr>
              <w:jc w:val="center"/>
            </w:pPr>
            <w:r>
              <w:t>408.2</w:t>
            </w:r>
          </w:p>
        </w:tc>
      </w:tr>
      <w:tr w:rsidR="00DF5255" w:rsidRPr="0099768D" w:rsidTr="00DF5255">
        <w:trPr>
          <w:trHeight w:val="266"/>
        </w:trPr>
        <w:tc>
          <w:tcPr>
            <w:tcW w:w="796" w:type="pct"/>
          </w:tcPr>
          <w:p w:rsidR="00DF5255" w:rsidRPr="0099768D" w:rsidRDefault="00DF5255" w:rsidP="00DF5255">
            <w:pPr>
              <w:jc w:val="center"/>
            </w:pPr>
            <w:r>
              <w:t>0.90% Bi</w:t>
            </w:r>
          </w:p>
        </w:tc>
        <w:tc>
          <w:tcPr>
            <w:tcW w:w="748" w:type="pct"/>
          </w:tcPr>
          <w:p w:rsidR="00DF5255" w:rsidRPr="0099768D" w:rsidRDefault="00DF5255" w:rsidP="00DF5255">
            <w:pPr>
              <w:ind w:left="0"/>
              <w:jc w:val="center"/>
            </w:pPr>
            <w:r>
              <w:t xml:space="preserve"> 81</w:t>
            </w:r>
          </w:p>
        </w:tc>
        <w:tc>
          <w:tcPr>
            <w:tcW w:w="751" w:type="pct"/>
          </w:tcPr>
          <w:p w:rsidR="00DF5255" w:rsidRPr="0099768D" w:rsidRDefault="00DF5255" w:rsidP="00DF5255">
            <w:pPr>
              <w:jc w:val="center"/>
            </w:pPr>
            <w:r>
              <w:t>740.2</w:t>
            </w:r>
          </w:p>
        </w:tc>
        <w:tc>
          <w:tcPr>
            <w:tcW w:w="578" w:type="pct"/>
          </w:tcPr>
          <w:p w:rsidR="00DF5255" w:rsidRPr="0099768D" w:rsidRDefault="00DF5255" w:rsidP="00DF5255">
            <w:pPr>
              <w:jc w:val="center"/>
            </w:pPr>
            <w:r>
              <w:t>1.59</w:t>
            </w:r>
          </w:p>
        </w:tc>
        <w:tc>
          <w:tcPr>
            <w:tcW w:w="639" w:type="pct"/>
          </w:tcPr>
          <w:p w:rsidR="00DF5255" w:rsidRDefault="00DF5255" w:rsidP="00DF5255">
            <w:pPr>
              <w:jc w:val="center"/>
            </w:pPr>
            <w:r>
              <w:t>0.173</w:t>
            </w:r>
          </w:p>
        </w:tc>
        <w:tc>
          <w:tcPr>
            <w:tcW w:w="754" w:type="pct"/>
          </w:tcPr>
          <w:p w:rsidR="00DF5255" w:rsidRDefault="00DF5255" w:rsidP="00DF5255">
            <w:pPr>
              <w:jc w:val="center"/>
            </w:pPr>
            <w:r>
              <w:t>3.93</w:t>
            </w:r>
          </w:p>
        </w:tc>
        <w:tc>
          <w:tcPr>
            <w:tcW w:w="734" w:type="pct"/>
          </w:tcPr>
          <w:p w:rsidR="00DF5255" w:rsidRDefault="00DF5255" w:rsidP="00DF5255">
            <w:pPr>
              <w:jc w:val="center"/>
            </w:pPr>
            <w:r>
              <w:t>393.7</w:t>
            </w:r>
          </w:p>
        </w:tc>
      </w:tr>
      <w:tr w:rsidR="00DF5255" w:rsidRPr="0099768D" w:rsidTr="00DF5255">
        <w:trPr>
          <w:trHeight w:val="266"/>
        </w:trPr>
        <w:tc>
          <w:tcPr>
            <w:tcW w:w="796" w:type="pct"/>
            <w:tcBorders>
              <w:bottom w:val="single" w:sz="4" w:space="0" w:color="auto"/>
            </w:tcBorders>
          </w:tcPr>
          <w:p w:rsidR="00DF5255" w:rsidRPr="0099768D" w:rsidRDefault="00DF5255" w:rsidP="00DF5255">
            <w:pPr>
              <w:jc w:val="center"/>
            </w:pPr>
            <w:r>
              <w:t>1.39% Bi</w:t>
            </w:r>
          </w:p>
        </w:tc>
        <w:tc>
          <w:tcPr>
            <w:tcW w:w="748" w:type="pct"/>
            <w:tcBorders>
              <w:bottom w:val="single" w:sz="4" w:space="0" w:color="auto"/>
            </w:tcBorders>
          </w:tcPr>
          <w:p w:rsidR="00DF5255" w:rsidRPr="0099768D" w:rsidRDefault="00DF5255" w:rsidP="00DF5255">
            <w:pPr>
              <w:jc w:val="center"/>
            </w:pPr>
            <w:r>
              <w:t>70</w:t>
            </w:r>
          </w:p>
        </w:tc>
        <w:tc>
          <w:tcPr>
            <w:tcW w:w="751" w:type="pct"/>
            <w:tcBorders>
              <w:bottom w:val="single" w:sz="4" w:space="0" w:color="auto"/>
            </w:tcBorders>
          </w:tcPr>
          <w:p w:rsidR="00DF5255" w:rsidRPr="0099768D" w:rsidRDefault="00DF5255" w:rsidP="00DF5255">
            <w:pPr>
              <w:jc w:val="center"/>
            </w:pPr>
            <w:r>
              <w:t>698.9</w:t>
            </w:r>
          </w:p>
        </w:tc>
        <w:tc>
          <w:tcPr>
            <w:tcW w:w="578" w:type="pct"/>
            <w:tcBorders>
              <w:bottom w:val="single" w:sz="4" w:space="0" w:color="auto"/>
            </w:tcBorders>
          </w:tcPr>
          <w:p w:rsidR="00DF5255" w:rsidRPr="0099768D" w:rsidRDefault="00DF5255" w:rsidP="00DF5255">
            <w:pPr>
              <w:jc w:val="center"/>
            </w:pPr>
            <w:r>
              <w:t>1.49</w:t>
            </w:r>
          </w:p>
        </w:tc>
        <w:tc>
          <w:tcPr>
            <w:tcW w:w="639" w:type="pct"/>
            <w:tcBorders>
              <w:bottom w:val="single" w:sz="4" w:space="0" w:color="auto"/>
            </w:tcBorders>
          </w:tcPr>
          <w:p w:rsidR="00DF5255" w:rsidRDefault="00DF5255" w:rsidP="00DF5255">
            <w:pPr>
              <w:jc w:val="center"/>
            </w:pPr>
            <w:r>
              <w:t>1.180</w:t>
            </w:r>
          </w:p>
        </w:tc>
        <w:tc>
          <w:tcPr>
            <w:tcW w:w="754" w:type="pct"/>
            <w:tcBorders>
              <w:bottom w:val="single" w:sz="4" w:space="0" w:color="auto"/>
            </w:tcBorders>
          </w:tcPr>
          <w:p w:rsidR="00DF5255" w:rsidRDefault="00DF5255" w:rsidP="00DF5255">
            <w:pPr>
              <w:jc w:val="center"/>
            </w:pPr>
            <w:r>
              <w:t>3.83</w:t>
            </w:r>
          </w:p>
        </w:tc>
        <w:tc>
          <w:tcPr>
            <w:tcW w:w="734" w:type="pct"/>
            <w:tcBorders>
              <w:bottom w:val="single" w:sz="4" w:space="0" w:color="auto"/>
            </w:tcBorders>
          </w:tcPr>
          <w:p w:rsidR="00DF5255" w:rsidRDefault="00DF5255" w:rsidP="00DF5255">
            <w:pPr>
              <w:jc w:val="center"/>
            </w:pPr>
            <w:r>
              <w:t>374.0</w:t>
            </w:r>
          </w:p>
        </w:tc>
      </w:tr>
    </w:tbl>
    <w:p w:rsidR="00DF5255" w:rsidRDefault="00DF5255" w:rsidP="00DF5255">
      <w:pPr>
        <w:pStyle w:val="Tabletitle"/>
        <w:rPr>
          <w:lang w:val="en-ZA"/>
        </w:rPr>
      </w:pPr>
      <w:r w:rsidRPr="0099768D">
        <w:t>Table</w:t>
      </w:r>
      <w:r w:rsidRPr="0099768D">
        <w:rPr>
          <w:spacing w:val="-2"/>
        </w:rPr>
        <w:t xml:space="preserve"> </w:t>
      </w:r>
      <w:r w:rsidRPr="0099768D">
        <w:t xml:space="preserve">1: </w:t>
      </w:r>
      <w:r w:rsidRPr="005A5EFA">
        <w:rPr>
          <w:lang w:val="en-ZA"/>
        </w:rPr>
        <w:t>Thermal performance results from 35 kW/m</w:t>
      </w:r>
      <w:r w:rsidRPr="005A5EFA">
        <w:rPr>
          <w:vertAlign w:val="superscript"/>
          <w:lang w:val="en-ZA"/>
        </w:rPr>
        <w:t xml:space="preserve">2 </w:t>
      </w:r>
      <w:r w:rsidRPr="005A5EFA">
        <w:rPr>
          <w:lang w:val="en-ZA"/>
        </w:rPr>
        <w:t>external flux irradiation</w:t>
      </w:r>
    </w:p>
    <w:p w:rsidR="008D296F" w:rsidRDefault="008D296F" w:rsidP="001903DD">
      <w:pPr>
        <w:pStyle w:val="BodyText"/>
      </w:pPr>
    </w:p>
    <w:p w:rsidR="00DF5255" w:rsidRDefault="00DF5255" w:rsidP="001903DD">
      <w:pPr>
        <w:pStyle w:val="BodyText"/>
      </w:pPr>
    </w:p>
    <w:p w:rsidR="00DF5255" w:rsidRDefault="00DF5255" w:rsidP="001903DD">
      <w:pPr>
        <w:pStyle w:val="BodyText"/>
      </w:pPr>
      <w:bookmarkStart w:id="3" w:name="_GoBack"/>
      <w:bookmarkEnd w:id="3"/>
    </w:p>
    <w:tbl>
      <w:tblPr>
        <w:tblpPr w:leftFromText="180" w:rightFromText="180" w:vertAnchor="page" w:horzAnchor="margin" w:tblpY="2426"/>
        <w:tblW w:w="9079" w:type="dxa"/>
        <w:tblLayout w:type="fixed"/>
        <w:tblCellMar>
          <w:left w:w="0" w:type="dxa"/>
          <w:right w:w="0" w:type="dxa"/>
        </w:tblCellMar>
        <w:tblLook w:val="01E0" w:firstRow="1" w:lastRow="1" w:firstColumn="1" w:lastColumn="1" w:noHBand="0" w:noVBand="0"/>
      </w:tblPr>
      <w:tblGrid>
        <w:gridCol w:w="1236"/>
        <w:gridCol w:w="1405"/>
        <w:gridCol w:w="1590"/>
        <w:gridCol w:w="1140"/>
        <w:gridCol w:w="1140"/>
        <w:gridCol w:w="1284"/>
        <w:gridCol w:w="1284"/>
      </w:tblGrid>
      <w:tr w:rsidR="00EC67B9" w:rsidRPr="001F1B5F" w:rsidTr="00EC67B9">
        <w:trPr>
          <w:trHeight w:val="280"/>
        </w:trPr>
        <w:tc>
          <w:tcPr>
            <w:tcW w:w="1236" w:type="dxa"/>
            <w:tcBorders>
              <w:top w:val="double" w:sz="4" w:space="0" w:color="000000"/>
            </w:tcBorders>
          </w:tcPr>
          <w:p w:rsidR="00EC67B9" w:rsidRPr="001F1B5F" w:rsidRDefault="00EC67B9" w:rsidP="00EC67B9">
            <w:pPr>
              <w:rPr>
                <w:lang w:eastAsia="en-US"/>
              </w:rPr>
            </w:pPr>
            <w:r w:rsidRPr="001F1B5F">
              <w:rPr>
                <w:lang w:eastAsia="en-US"/>
              </w:rPr>
              <w:t>Sample 50</w:t>
            </w:r>
            <w:r>
              <w:rPr>
                <w:lang w:eastAsia="en-US"/>
              </w:rPr>
              <w:t xml:space="preserve"> </w:t>
            </w:r>
            <w:r w:rsidRPr="001F1B5F">
              <w:rPr>
                <w:lang w:eastAsia="en-US"/>
              </w:rPr>
              <w:t>(kW/m</w:t>
            </w:r>
            <w:r w:rsidRPr="001F1B5F">
              <w:rPr>
                <w:vertAlign w:val="superscript"/>
                <w:lang w:eastAsia="en-US"/>
              </w:rPr>
              <w:t>2</w:t>
            </w:r>
            <w:r w:rsidRPr="001F1B5F">
              <w:rPr>
                <w:lang w:eastAsia="en-US"/>
              </w:rPr>
              <w:t>)</w:t>
            </w:r>
          </w:p>
        </w:tc>
        <w:tc>
          <w:tcPr>
            <w:tcW w:w="1405" w:type="dxa"/>
            <w:tcBorders>
              <w:top w:val="double" w:sz="4" w:space="0" w:color="000000"/>
            </w:tcBorders>
          </w:tcPr>
          <w:p w:rsidR="00EC67B9" w:rsidRPr="001F1B5F" w:rsidRDefault="00EC67B9" w:rsidP="00EC67B9">
            <w:pPr>
              <w:rPr>
                <w:lang w:eastAsia="en-US"/>
              </w:rPr>
            </w:pPr>
            <w:r w:rsidRPr="001F1B5F">
              <w:rPr>
                <w:lang w:eastAsia="en-US"/>
              </w:rPr>
              <w:t>Time to ignition (s)</w:t>
            </w:r>
          </w:p>
        </w:tc>
        <w:tc>
          <w:tcPr>
            <w:tcW w:w="1590" w:type="dxa"/>
            <w:tcBorders>
              <w:top w:val="double" w:sz="4" w:space="0" w:color="000000"/>
            </w:tcBorders>
          </w:tcPr>
          <w:p w:rsidR="00EC67B9" w:rsidRPr="001F1B5F" w:rsidRDefault="00EC67B9" w:rsidP="00EC67B9">
            <w:pPr>
              <w:rPr>
                <w:lang w:eastAsia="en-US"/>
              </w:rPr>
            </w:pPr>
            <w:r w:rsidRPr="001F1B5F">
              <w:rPr>
                <w:lang w:eastAsia="en-US"/>
              </w:rPr>
              <w:t>Peak HRR (kw/m</w:t>
            </w:r>
            <w:r w:rsidRPr="001F1B5F">
              <w:rPr>
                <w:vertAlign w:val="superscript"/>
                <w:lang w:eastAsia="en-US"/>
              </w:rPr>
              <w:t>2</w:t>
            </w:r>
            <w:r w:rsidRPr="001F1B5F">
              <w:rPr>
                <w:lang w:eastAsia="en-US"/>
              </w:rPr>
              <w:t>)</w:t>
            </w:r>
          </w:p>
        </w:tc>
        <w:tc>
          <w:tcPr>
            <w:tcW w:w="1140" w:type="dxa"/>
            <w:tcBorders>
              <w:top w:val="double" w:sz="4" w:space="0" w:color="000000"/>
            </w:tcBorders>
          </w:tcPr>
          <w:p w:rsidR="00EC67B9" w:rsidRPr="001F1B5F" w:rsidRDefault="00EC67B9" w:rsidP="00EC67B9">
            <w:pPr>
              <w:rPr>
                <w:lang w:eastAsia="en-US"/>
              </w:rPr>
            </w:pPr>
            <w:r w:rsidRPr="001F1B5F">
              <w:rPr>
                <w:lang w:eastAsia="en-US"/>
              </w:rPr>
              <w:t>FIGRA (W/s)</w:t>
            </w:r>
          </w:p>
        </w:tc>
        <w:tc>
          <w:tcPr>
            <w:tcW w:w="1140" w:type="dxa"/>
            <w:tcBorders>
              <w:top w:val="double" w:sz="4" w:space="0" w:color="000000"/>
            </w:tcBorders>
          </w:tcPr>
          <w:p w:rsidR="00EC67B9" w:rsidRPr="001F1B5F" w:rsidRDefault="00EC67B9" w:rsidP="00EC67B9">
            <w:pPr>
              <w:rPr>
                <w:lang w:eastAsia="en-US"/>
              </w:rPr>
            </w:pPr>
            <w:r w:rsidRPr="001F1B5F">
              <w:rPr>
                <w:lang w:eastAsia="en-US"/>
              </w:rPr>
              <w:t>Peak SPR (m</w:t>
            </w:r>
            <w:r w:rsidRPr="001F1B5F">
              <w:rPr>
                <w:vertAlign w:val="superscript"/>
                <w:lang w:eastAsia="en-US"/>
              </w:rPr>
              <w:t>2</w:t>
            </w:r>
            <w:r w:rsidRPr="001F1B5F">
              <w:rPr>
                <w:lang w:eastAsia="en-US"/>
              </w:rPr>
              <w:t>/s)</w:t>
            </w:r>
          </w:p>
        </w:tc>
        <w:tc>
          <w:tcPr>
            <w:tcW w:w="1284" w:type="dxa"/>
            <w:tcBorders>
              <w:top w:val="double" w:sz="4" w:space="0" w:color="000000"/>
            </w:tcBorders>
          </w:tcPr>
          <w:p w:rsidR="00EC67B9" w:rsidRPr="001F1B5F" w:rsidRDefault="00EC67B9" w:rsidP="00EC67B9">
            <w:pPr>
              <w:rPr>
                <w:lang w:eastAsia="en-US"/>
              </w:rPr>
            </w:pPr>
            <w:r w:rsidRPr="001F1B5F">
              <w:rPr>
                <w:lang w:eastAsia="en-US"/>
              </w:rPr>
              <w:t>SMOGRA (m</w:t>
            </w:r>
            <w:r w:rsidRPr="001F1B5F">
              <w:rPr>
                <w:vertAlign w:val="superscript"/>
                <w:lang w:eastAsia="en-US"/>
              </w:rPr>
              <w:t>2</w:t>
            </w:r>
            <w:r w:rsidRPr="001F1B5F">
              <w:rPr>
                <w:lang w:eastAsia="en-US"/>
              </w:rPr>
              <w:t>/s</w:t>
            </w:r>
            <w:r w:rsidRPr="001F1B5F">
              <w:rPr>
                <w:vertAlign w:val="superscript"/>
                <w:lang w:eastAsia="en-US"/>
              </w:rPr>
              <w:t>2</w:t>
            </w:r>
            <w:r w:rsidRPr="001F1B5F">
              <w:rPr>
                <w:lang w:eastAsia="en-US"/>
              </w:rPr>
              <w:t>)</w:t>
            </w:r>
          </w:p>
        </w:tc>
        <w:tc>
          <w:tcPr>
            <w:tcW w:w="1284" w:type="dxa"/>
            <w:tcBorders>
              <w:top w:val="double" w:sz="4" w:space="0" w:color="000000"/>
            </w:tcBorders>
          </w:tcPr>
          <w:p w:rsidR="00EC67B9" w:rsidRPr="001F1B5F" w:rsidRDefault="00EC67B9" w:rsidP="00EC67B9">
            <w:pPr>
              <w:rPr>
                <w:lang w:eastAsia="en-US"/>
              </w:rPr>
            </w:pPr>
            <w:r w:rsidRPr="001F1B5F">
              <w:rPr>
                <w:lang w:eastAsia="en-US"/>
              </w:rPr>
              <w:t>MARHE (kW/m</w:t>
            </w:r>
            <w:r w:rsidRPr="001F1B5F">
              <w:rPr>
                <w:vertAlign w:val="superscript"/>
                <w:lang w:eastAsia="en-US"/>
              </w:rPr>
              <w:t>2</w:t>
            </w:r>
            <w:r w:rsidRPr="001F1B5F">
              <w:rPr>
                <w:lang w:eastAsia="en-US"/>
              </w:rPr>
              <w:t>)</w:t>
            </w:r>
          </w:p>
        </w:tc>
      </w:tr>
      <w:tr w:rsidR="00EC67B9" w:rsidRPr="001F1B5F" w:rsidTr="00EC67B9">
        <w:trPr>
          <w:trHeight w:val="280"/>
        </w:trPr>
        <w:tc>
          <w:tcPr>
            <w:tcW w:w="1236" w:type="dxa"/>
            <w:tcBorders>
              <w:top w:val="single" w:sz="4" w:space="0" w:color="000000"/>
            </w:tcBorders>
          </w:tcPr>
          <w:p w:rsidR="00EC67B9" w:rsidRPr="001F1B5F" w:rsidRDefault="00EC67B9" w:rsidP="00EC67B9">
            <w:pPr>
              <w:rPr>
                <w:lang w:eastAsia="en-US"/>
              </w:rPr>
            </w:pPr>
            <w:r w:rsidRPr="001F1B5F">
              <w:rPr>
                <w:lang w:eastAsia="en-US"/>
              </w:rPr>
              <w:t>Neat</w:t>
            </w:r>
          </w:p>
        </w:tc>
        <w:tc>
          <w:tcPr>
            <w:tcW w:w="1405" w:type="dxa"/>
            <w:tcBorders>
              <w:top w:val="single" w:sz="4" w:space="0" w:color="000000"/>
            </w:tcBorders>
          </w:tcPr>
          <w:p w:rsidR="00EC67B9" w:rsidRPr="001F1B5F" w:rsidRDefault="00EC67B9" w:rsidP="00EC67B9">
            <w:pPr>
              <w:rPr>
                <w:lang w:eastAsia="en-US"/>
              </w:rPr>
            </w:pPr>
            <w:r w:rsidRPr="001F1B5F">
              <w:rPr>
                <w:lang w:eastAsia="en-US"/>
              </w:rPr>
              <w:t>89</w:t>
            </w:r>
          </w:p>
        </w:tc>
        <w:tc>
          <w:tcPr>
            <w:tcW w:w="1590" w:type="dxa"/>
            <w:tcBorders>
              <w:top w:val="single" w:sz="4" w:space="0" w:color="000000"/>
            </w:tcBorders>
          </w:tcPr>
          <w:p w:rsidR="00EC67B9" w:rsidRPr="001F1B5F" w:rsidRDefault="00EC67B9" w:rsidP="00EC67B9">
            <w:pPr>
              <w:rPr>
                <w:lang w:eastAsia="en-US"/>
              </w:rPr>
            </w:pPr>
            <w:r w:rsidRPr="001F1B5F">
              <w:rPr>
                <w:lang w:eastAsia="en-US"/>
              </w:rPr>
              <w:t>819.0</w:t>
            </w:r>
          </w:p>
        </w:tc>
        <w:tc>
          <w:tcPr>
            <w:tcW w:w="1140" w:type="dxa"/>
            <w:tcBorders>
              <w:top w:val="single" w:sz="4" w:space="0" w:color="000000"/>
            </w:tcBorders>
          </w:tcPr>
          <w:p w:rsidR="00EC67B9" w:rsidRPr="001F1B5F" w:rsidRDefault="00EC67B9" w:rsidP="00EC67B9">
            <w:pPr>
              <w:rPr>
                <w:lang w:eastAsia="en-US"/>
              </w:rPr>
            </w:pPr>
            <w:r w:rsidRPr="001F1B5F">
              <w:rPr>
                <w:lang w:eastAsia="en-US"/>
              </w:rPr>
              <w:t>2.48</w:t>
            </w:r>
          </w:p>
        </w:tc>
        <w:tc>
          <w:tcPr>
            <w:tcW w:w="1140" w:type="dxa"/>
            <w:tcBorders>
              <w:top w:val="single" w:sz="4" w:space="0" w:color="000000"/>
            </w:tcBorders>
          </w:tcPr>
          <w:p w:rsidR="00EC67B9" w:rsidRPr="001F1B5F" w:rsidRDefault="00EC67B9" w:rsidP="00EC67B9">
            <w:pPr>
              <w:rPr>
                <w:lang w:eastAsia="en-US"/>
              </w:rPr>
            </w:pPr>
            <w:r w:rsidRPr="001F1B5F">
              <w:rPr>
                <w:lang w:eastAsia="en-US"/>
              </w:rPr>
              <w:t>0.183</w:t>
            </w:r>
          </w:p>
        </w:tc>
        <w:tc>
          <w:tcPr>
            <w:tcW w:w="1284" w:type="dxa"/>
            <w:tcBorders>
              <w:top w:val="single" w:sz="4" w:space="0" w:color="000000"/>
            </w:tcBorders>
          </w:tcPr>
          <w:p w:rsidR="00EC67B9" w:rsidRPr="001F1B5F" w:rsidRDefault="00EC67B9" w:rsidP="00EC67B9">
            <w:pPr>
              <w:rPr>
                <w:lang w:eastAsia="en-US"/>
              </w:rPr>
            </w:pPr>
            <w:r w:rsidRPr="001F1B5F">
              <w:rPr>
                <w:lang w:eastAsia="en-US"/>
              </w:rPr>
              <w:t>5.08</w:t>
            </w:r>
          </w:p>
        </w:tc>
        <w:tc>
          <w:tcPr>
            <w:tcW w:w="1284" w:type="dxa"/>
            <w:tcBorders>
              <w:top w:val="single" w:sz="4" w:space="0" w:color="000000"/>
            </w:tcBorders>
          </w:tcPr>
          <w:p w:rsidR="00EC67B9" w:rsidRPr="001F1B5F" w:rsidRDefault="00EC67B9" w:rsidP="00EC67B9">
            <w:pPr>
              <w:rPr>
                <w:lang w:eastAsia="en-US"/>
              </w:rPr>
            </w:pPr>
            <w:r w:rsidRPr="001F1B5F">
              <w:rPr>
                <w:lang w:eastAsia="en-US"/>
              </w:rPr>
              <w:t>416.6</w:t>
            </w:r>
          </w:p>
        </w:tc>
      </w:tr>
      <w:tr w:rsidR="00EC67B9" w:rsidRPr="001F1B5F" w:rsidTr="00EC67B9">
        <w:trPr>
          <w:trHeight w:val="287"/>
        </w:trPr>
        <w:tc>
          <w:tcPr>
            <w:tcW w:w="1236" w:type="dxa"/>
          </w:tcPr>
          <w:p w:rsidR="00EC67B9" w:rsidRPr="001F1B5F" w:rsidRDefault="00EC67B9" w:rsidP="00EC67B9">
            <w:pPr>
              <w:rPr>
                <w:lang w:eastAsia="en-US"/>
              </w:rPr>
            </w:pPr>
            <w:r w:rsidRPr="001F1B5F">
              <w:rPr>
                <w:lang w:eastAsia="en-US"/>
              </w:rPr>
              <w:t>0.46% Bi</w:t>
            </w:r>
          </w:p>
        </w:tc>
        <w:tc>
          <w:tcPr>
            <w:tcW w:w="1405" w:type="dxa"/>
          </w:tcPr>
          <w:p w:rsidR="00EC67B9" w:rsidRPr="001F1B5F" w:rsidRDefault="00EC67B9" w:rsidP="00EC67B9">
            <w:pPr>
              <w:rPr>
                <w:lang w:eastAsia="en-US"/>
              </w:rPr>
            </w:pPr>
            <w:r w:rsidRPr="001F1B5F">
              <w:rPr>
                <w:lang w:eastAsia="en-US"/>
              </w:rPr>
              <w:t>89</w:t>
            </w:r>
          </w:p>
        </w:tc>
        <w:tc>
          <w:tcPr>
            <w:tcW w:w="1590" w:type="dxa"/>
          </w:tcPr>
          <w:p w:rsidR="00EC67B9" w:rsidRPr="001F1B5F" w:rsidRDefault="00EC67B9" w:rsidP="00EC67B9">
            <w:pPr>
              <w:rPr>
                <w:lang w:eastAsia="en-US"/>
              </w:rPr>
            </w:pPr>
            <w:r w:rsidRPr="001F1B5F">
              <w:rPr>
                <w:lang w:eastAsia="en-US"/>
              </w:rPr>
              <w:t>745.1</w:t>
            </w:r>
          </w:p>
        </w:tc>
        <w:tc>
          <w:tcPr>
            <w:tcW w:w="1140" w:type="dxa"/>
          </w:tcPr>
          <w:p w:rsidR="00EC67B9" w:rsidRPr="001F1B5F" w:rsidRDefault="00EC67B9" w:rsidP="00EC67B9">
            <w:pPr>
              <w:rPr>
                <w:lang w:eastAsia="en-US"/>
              </w:rPr>
            </w:pPr>
            <w:r w:rsidRPr="001F1B5F">
              <w:rPr>
                <w:lang w:eastAsia="en-US"/>
              </w:rPr>
              <w:t>1.94</w:t>
            </w:r>
          </w:p>
        </w:tc>
        <w:tc>
          <w:tcPr>
            <w:tcW w:w="1140" w:type="dxa"/>
          </w:tcPr>
          <w:p w:rsidR="00EC67B9" w:rsidRPr="001F1B5F" w:rsidRDefault="00EC67B9" w:rsidP="00EC67B9">
            <w:pPr>
              <w:rPr>
                <w:lang w:eastAsia="en-US"/>
              </w:rPr>
            </w:pPr>
            <w:r w:rsidRPr="001F1B5F">
              <w:rPr>
                <w:lang w:eastAsia="en-US"/>
              </w:rPr>
              <w:t>0.177</w:t>
            </w:r>
          </w:p>
        </w:tc>
        <w:tc>
          <w:tcPr>
            <w:tcW w:w="1284" w:type="dxa"/>
          </w:tcPr>
          <w:p w:rsidR="00EC67B9" w:rsidRPr="001F1B5F" w:rsidRDefault="00EC67B9" w:rsidP="00EC67B9">
            <w:pPr>
              <w:rPr>
                <w:lang w:eastAsia="en-US"/>
              </w:rPr>
            </w:pPr>
            <w:r w:rsidRPr="001F1B5F">
              <w:rPr>
                <w:lang w:eastAsia="en-US"/>
              </w:rPr>
              <w:t>4.37</w:t>
            </w:r>
          </w:p>
        </w:tc>
        <w:tc>
          <w:tcPr>
            <w:tcW w:w="1284" w:type="dxa"/>
          </w:tcPr>
          <w:p w:rsidR="00EC67B9" w:rsidRPr="001F1B5F" w:rsidRDefault="00EC67B9" w:rsidP="00EC67B9">
            <w:pPr>
              <w:rPr>
                <w:lang w:eastAsia="en-US"/>
              </w:rPr>
            </w:pPr>
            <w:r w:rsidRPr="001F1B5F">
              <w:rPr>
                <w:lang w:eastAsia="en-US"/>
              </w:rPr>
              <w:t>408.2</w:t>
            </w:r>
          </w:p>
        </w:tc>
      </w:tr>
      <w:tr w:rsidR="00EC67B9" w:rsidRPr="001F1B5F" w:rsidTr="00EC67B9">
        <w:trPr>
          <w:trHeight w:val="287"/>
        </w:trPr>
        <w:tc>
          <w:tcPr>
            <w:tcW w:w="1236" w:type="dxa"/>
          </w:tcPr>
          <w:p w:rsidR="00EC67B9" w:rsidRPr="001F1B5F" w:rsidRDefault="00EC67B9" w:rsidP="00EC67B9">
            <w:pPr>
              <w:rPr>
                <w:lang w:eastAsia="en-US"/>
              </w:rPr>
            </w:pPr>
            <w:r w:rsidRPr="001F1B5F">
              <w:rPr>
                <w:lang w:eastAsia="en-US"/>
              </w:rPr>
              <w:t>0.90% Bi</w:t>
            </w:r>
          </w:p>
        </w:tc>
        <w:tc>
          <w:tcPr>
            <w:tcW w:w="1405" w:type="dxa"/>
          </w:tcPr>
          <w:p w:rsidR="00EC67B9" w:rsidRPr="001F1B5F" w:rsidRDefault="00EC67B9" w:rsidP="00EC67B9">
            <w:pPr>
              <w:rPr>
                <w:lang w:eastAsia="en-US"/>
              </w:rPr>
            </w:pPr>
            <w:r w:rsidRPr="001F1B5F">
              <w:rPr>
                <w:lang w:eastAsia="en-US"/>
              </w:rPr>
              <w:t>81</w:t>
            </w:r>
          </w:p>
        </w:tc>
        <w:tc>
          <w:tcPr>
            <w:tcW w:w="1590" w:type="dxa"/>
          </w:tcPr>
          <w:p w:rsidR="00EC67B9" w:rsidRPr="001F1B5F" w:rsidRDefault="00EC67B9" w:rsidP="00EC67B9">
            <w:pPr>
              <w:rPr>
                <w:lang w:eastAsia="en-US"/>
              </w:rPr>
            </w:pPr>
            <w:r w:rsidRPr="001F1B5F">
              <w:rPr>
                <w:lang w:eastAsia="en-US"/>
              </w:rPr>
              <w:t>740.2</w:t>
            </w:r>
          </w:p>
        </w:tc>
        <w:tc>
          <w:tcPr>
            <w:tcW w:w="1140" w:type="dxa"/>
          </w:tcPr>
          <w:p w:rsidR="00EC67B9" w:rsidRPr="001F1B5F" w:rsidRDefault="00EC67B9" w:rsidP="00EC67B9">
            <w:pPr>
              <w:rPr>
                <w:lang w:eastAsia="en-US"/>
              </w:rPr>
            </w:pPr>
            <w:r w:rsidRPr="001F1B5F">
              <w:rPr>
                <w:lang w:eastAsia="en-US"/>
              </w:rPr>
              <w:t>1.59</w:t>
            </w:r>
          </w:p>
        </w:tc>
        <w:tc>
          <w:tcPr>
            <w:tcW w:w="1140" w:type="dxa"/>
          </w:tcPr>
          <w:p w:rsidR="00EC67B9" w:rsidRPr="001F1B5F" w:rsidRDefault="00EC67B9" w:rsidP="00EC67B9">
            <w:pPr>
              <w:rPr>
                <w:lang w:eastAsia="en-US"/>
              </w:rPr>
            </w:pPr>
            <w:r w:rsidRPr="001F1B5F">
              <w:rPr>
                <w:lang w:eastAsia="en-US"/>
              </w:rPr>
              <w:t>0.173</w:t>
            </w:r>
          </w:p>
        </w:tc>
        <w:tc>
          <w:tcPr>
            <w:tcW w:w="1284" w:type="dxa"/>
          </w:tcPr>
          <w:p w:rsidR="00EC67B9" w:rsidRPr="001F1B5F" w:rsidRDefault="00EC67B9" w:rsidP="00EC67B9">
            <w:pPr>
              <w:rPr>
                <w:lang w:eastAsia="en-US"/>
              </w:rPr>
            </w:pPr>
            <w:r w:rsidRPr="001F1B5F">
              <w:rPr>
                <w:lang w:eastAsia="en-US"/>
              </w:rPr>
              <w:t>3.93</w:t>
            </w:r>
          </w:p>
        </w:tc>
        <w:tc>
          <w:tcPr>
            <w:tcW w:w="1284" w:type="dxa"/>
          </w:tcPr>
          <w:p w:rsidR="00EC67B9" w:rsidRPr="001F1B5F" w:rsidRDefault="00EC67B9" w:rsidP="00EC67B9">
            <w:pPr>
              <w:rPr>
                <w:lang w:eastAsia="en-US"/>
              </w:rPr>
            </w:pPr>
            <w:r w:rsidRPr="001F1B5F">
              <w:rPr>
                <w:lang w:eastAsia="en-US"/>
              </w:rPr>
              <w:t>393.7</w:t>
            </w:r>
          </w:p>
        </w:tc>
      </w:tr>
      <w:tr w:rsidR="00EC67B9" w:rsidRPr="001F1B5F" w:rsidTr="00EC67B9">
        <w:trPr>
          <w:trHeight w:val="287"/>
        </w:trPr>
        <w:tc>
          <w:tcPr>
            <w:tcW w:w="1236" w:type="dxa"/>
            <w:tcBorders>
              <w:bottom w:val="single" w:sz="4" w:space="0" w:color="auto"/>
            </w:tcBorders>
          </w:tcPr>
          <w:p w:rsidR="00EC67B9" w:rsidRPr="001F1B5F" w:rsidRDefault="00EC67B9" w:rsidP="00EC67B9">
            <w:pPr>
              <w:rPr>
                <w:lang w:eastAsia="en-US"/>
              </w:rPr>
            </w:pPr>
            <w:r w:rsidRPr="001F1B5F">
              <w:rPr>
                <w:lang w:eastAsia="en-US"/>
              </w:rPr>
              <w:t>1.39% Bi</w:t>
            </w:r>
          </w:p>
        </w:tc>
        <w:tc>
          <w:tcPr>
            <w:tcW w:w="1405" w:type="dxa"/>
            <w:tcBorders>
              <w:bottom w:val="single" w:sz="4" w:space="0" w:color="auto"/>
            </w:tcBorders>
          </w:tcPr>
          <w:p w:rsidR="00EC67B9" w:rsidRPr="001F1B5F" w:rsidRDefault="00EC67B9" w:rsidP="00EC67B9">
            <w:pPr>
              <w:rPr>
                <w:lang w:eastAsia="en-US"/>
              </w:rPr>
            </w:pPr>
            <w:r w:rsidRPr="001F1B5F">
              <w:rPr>
                <w:lang w:eastAsia="en-US"/>
              </w:rPr>
              <w:t>70</w:t>
            </w:r>
          </w:p>
        </w:tc>
        <w:tc>
          <w:tcPr>
            <w:tcW w:w="1590" w:type="dxa"/>
            <w:tcBorders>
              <w:bottom w:val="single" w:sz="4" w:space="0" w:color="auto"/>
            </w:tcBorders>
          </w:tcPr>
          <w:p w:rsidR="00EC67B9" w:rsidRPr="001F1B5F" w:rsidRDefault="00EC67B9" w:rsidP="00EC67B9">
            <w:pPr>
              <w:rPr>
                <w:lang w:eastAsia="en-US"/>
              </w:rPr>
            </w:pPr>
            <w:r w:rsidRPr="001F1B5F">
              <w:rPr>
                <w:lang w:eastAsia="en-US"/>
              </w:rPr>
              <w:t>698.9</w:t>
            </w:r>
          </w:p>
        </w:tc>
        <w:tc>
          <w:tcPr>
            <w:tcW w:w="1140" w:type="dxa"/>
            <w:tcBorders>
              <w:bottom w:val="single" w:sz="4" w:space="0" w:color="auto"/>
            </w:tcBorders>
          </w:tcPr>
          <w:p w:rsidR="00EC67B9" w:rsidRPr="001F1B5F" w:rsidRDefault="00EC67B9" w:rsidP="00EC67B9">
            <w:pPr>
              <w:rPr>
                <w:lang w:eastAsia="en-US"/>
              </w:rPr>
            </w:pPr>
            <w:r w:rsidRPr="001F1B5F">
              <w:rPr>
                <w:lang w:eastAsia="en-US"/>
              </w:rPr>
              <w:t>1.49</w:t>
            </w:r>
          </w:p>
        </w:tc>
        <w:tc>
          <w:tcPr>
            <w:tcW w:w="1140" w:type="dxa"/>
            <w:tcBorders>
              <w:bottom w:val="single" w:sz="4" w:space="0" w:color="auto"/>
            </w:tcBorders>
          </w:tcPr>
          <w:p w:rsidR="00EC67B9" w:rsidRPr="001F1B5F" w:rsidRDefault="00EC67B9" w:rsidP="00EC67B9">
            <w:pPr>
              <w:rPr>
                <w:lang w:eastAsia="en-US"/>
              </w:rPr>
            </w:pPr>
            <w:r w:rsidRPr="001F1B5F">
              <w:rPr>
                <w:lang w:eastAsia="en-US"/>
              </w:rPr>
              <w:t>1.180</w:t>
            </w:r>
          </w:p>
        </w:tc>
        <w:tc>
          <w:tcPr>
            <w:tcW w:w="1284" w:type="dxa"/>
            <w:tcBorders>
              <w:bottom w:val="single" w:sz="4" w:space="0" w:color="auto"/>
            </w:tcBorders>
          </w:tcPr>
          <w:p w:rsidR="00EC67B9" w:rsidRPr="001F1B5F" w:rsidRDefault="00EC67B9" w:rsidP="00EC67B9">
            <w:pPr>
              <w:rPr>
                <w:lang w:eastAsia="en-US"/>
              </w:rPr>
            </w:pPr>
            <w:r w:rsidRPr="001F1B5F">
              <w:rPr>
                <w:lang w:eastAsia="en-US"/>
              </w:rPr>
              <w:t>3.83</w:t>
            </w:r>
          </w:p>
        </w:tc>
        <w:tc>
          <w:tcPr>
            <w:tcW w:w="1284" w:type="dxa"/>
            <w:tcBorders>
              <w:bottom w:val="single" w:sz="4" w:space="0" w:color="auto"/>
            </w:tcBorders>
          </w:tcPr>
          <w:p w:rsidR="00EC67B9" w:rsidRPr="001F1B5F" w:rsidRDefault="00EC67B9" w:rsidP="00EC67B9">
            <w:pPr>
              <w:rPr>
                <w:lang w:eastAsia="en-US"/>
              </w:rPr>
            </w:pPr>
            <w:r w:rsidRPr="001F1B5F">
              <w:rPr>
                <w:lang w:eastAsia="en-US"/>
              </w:rPr>
              <w:t>374.0</w:t>
            </w:r>
          </w:p>
        </w:tc>
      </w:tr>
    </w:tbl>
    <w:p w:rsidR="00784C83" w:rsidRDefault="00DF5255" w:rsidP="00EC67B9">
      <w:pPr>
        <w:pStyle w:val="BodyText"/>
        <w:rPr>
          <w:lang w:val="en-ZA"/>
        </w:rPr>
      </w:pPr>
      <w:r>
        <w:t xml:space="preserve"> </w:t>
      </w:r>
      <w:r w:rsidR="00784C83" w:rsidRPr="0099768D">
        <w:t>Table</w:t>
      </w:r>
      <w:r w:rsidR="00784C83" w:rsidRPr="0099768D">
        <w:rPr>
          <w:spacing w:val="-2"/>
        </w:rPr>
        <w:t xml:space="preserve"> </w:t>
      </w:r>
      <w:r w:rsidR="00784C83">
        <w:t>2</w:t>
      </w:r>
      <w:r w:rsidR="00784C83" w:rsidRPr="0099768D">
        <w:t xml:space="preserve">: </w:t>
      </w:r>
      <w:r w:rsidR="00784C83" w:rsidRPr="005A5EFA">
        <w:rPr>
          <w:lang w:val="en-ZA"/>
        </w:rPr>
        <w:t xml:space="preserve">Thermal performance results from </w:t>
      </w:r>
      <w:r w:rsidR="00784C83">
        <w:rPr>
          <w:lang w:val="en-ZA"/>
        </w:rPr>
        <w:t>50</w:t>
      </w:r>
      <w:r w:rsidR="00784C83" w:rsidRPr="005A5EFA">
        <w:rPr>
          <w:lang w:val="en-ZA"/>
        </w:rPr>
        <w:t xml:space="preserve"> kW/m</w:t>
      </w:r>
      <w:r w:rsidR="00784C83" w:rsidRPr="005A5EFA">
        <w:rPr>
          <w:vertAlign w:val="superscript"/>
          <w:lang w:val="en-ZA"/>
        </w:rPr>
        <w:t xml:space="preserve">2 </w:t>
      </w:r>
      <w:r w:rsidR="00784C83" w:rsidRPr="005A5EFA">
        <w:rPr>
          <w:lang w:val="en-ZA"/>
        </w:rPr>
        <w:t>external flux irradiation</w:t>
      </w:r>
    </w:p>
    <w:p w:rsidR="00FE2802" w:rsidRPr="0099768D" w:rsidRDefault="00FE2802" w:rsidP="00FE2802">
      <w:pPr>
        <w:pStyle w:val="Heading1"/>
      </w:pPr>
      <w:r>
        <w:t xml:space="preserve">Discussions </w:t>
      </w:r>
    </w:p>
    <w:p w:rsidR="00A552A5" w:rsidRDefault="00FE2802" w:rsidP="00335963">
      <w:pPr>
        <w:jc w:val="both"/>
        <w:rPr>
          <w:szCs w:val="20"/>
        </w:rPr>
      </w:pPr>
      <w:r>
        <w:rPr>
          <w:iCs/>
        </w:rPr>
        <w:t>The heat release</w:t>
      </w:r>
      <w:r w:rsidR="00BD1E1C">
        <w:rPr>
          <w:iCs/>
        </w:rPr>
        <w:t xml:space="preserve"> </w:t>
      </w:r>
      <w:r w:rsidR="00BD1E1C">
        <w:rPr>
          <w:szCs w:val="20"/>
        </w:rPr>
        <w:t>rate</w:t>
      </w:r>
      <w:r w:rsidR="00BD1E1C" w:rsidRPr="005C5EB7">
        <w:rPr>
          <w:szCs w:val="20"/>
        </w:rPr>
        <w:t xml:space="preserve"> (HRR), Maximum Average Rate of Heat Emission (MARHE), Fire Spread Index (FIGRA)</w:t>
      </w:r>
      <w:r w:rsidR="00BD1E1C">
        <w:rPr>
          <w:szCs w:val="20"/>
        </w:rPr>
        <w:t xml:space="preserve"> </w:t>
      </w:r>
      <w:r w:rsidR="00BD1E1C" w:rsidRPr="005C5EB7">
        <w:rPr>
          <w:szCs w:val="20"/>
        </w:rPr>
        <w:t>and Smoke Spread Index (SMOGRA) values determine heat safety hazard of a material.</w:t>
      </w:r>
      <w:r w:rsidR="00323CD7">
        <w:rPr>
          <w:szCs w:val="20"/>
          <w:vertAlign w:val="superscript"/>
        </w:rPr>
        <w:t>5</w:t>
      </w:r>
      <w:r w:rsidR="00BD1E1C" w:rsidRPr="005C5EB7">
        <w:rPr>
          <w:szCs w:val="20"/>
        </w:rPr>
        <w:t xml:space="preserve"> The lower the values the better the fire safety hazard. Ignition controls the flame spread and fire growth, whereas the </w:t>
      </w:r>
      <w:proofErr w:type="spellStart"/>
      <w:r w:rsidR="00BD1E1C" w:rsidRPr="005C5EB7">
        <w:rPr>
          <w:szCs w:val="20"/>
        </w:rPr>
        <w:t>pHRR</w:t>
      </w:r>
      <w:proofErr w:type="spellEnd"/>
      <w:r w:rsidR="00BD1E1C" w:rsidRPr="005C5EB7">
        <w:rPr>
          <w:szCs w:val="20"/>
        </w:rPr>
        <w:t xml:space="preserve"> controls</w:t>
      </w:r>
      <w:r w:rsidR="00100F87">
        <w:rPr>
          <w:szCs w:val="20"/>
        </w:rPr>
        <w:t xml:space="preserve"> </w:t>
      </w:r>
      <w:r w:rsidR="00100F87" w:rsidRPr="005C5EB7">
        <w:rPr>
          <w:szCs w:val="20"/>
        </w:rPr>
        <w:t>the flame spread.</w:t>
      </w:r>
      <w:r w:rsidR="00711100">
        <w:rPr>
          <w:szCs w:val="20"/>
          <w:vertAlign w:val="superscript"/>
        </w:rPr>
        <w:t>6</w:t>
      </w:r>
      <w:r w:rsidR="00100F87" w:rsidRPr="005C5EB7">
        <w:rPr>
          <w:szCs w:val="20"/>
        </w:rPr>
        <w:t xml:space="preserve">  </w:t>
      </w:r>
    </w:p>
    <w:p w:rsidR="001E2C80" w:rsidRDefault="00040FB1" w:rsidP="00335963">
      <w:pPr>
        <w:jc w:val="both"/>
      </w:pPr>
      <w:r>
        <w:rPr>
          <w:lang w:val="en-US" w:eastAsia="en-US"/>
        </w:rPr>
        <w:t>In Figure 2 (a) and (b)</w:t>
      </w:r>
      <w:r w:rsidR="00553E10">
        <w:rPr>
          <w:lang w:val="en-US" w:eastAsia="en-US"/>
        </w:rPr>
        <w:t>,</w:t>
      </w:r>
      <w:r w:rsidR="00553E10">
        <w:rPr>
          <w:lang w:val="en-US" w:eastAsia="en-US"/>
        </w:rPr>
        <w:t xml:space="preserve"> the peak</w:t>
      </w:r>
      <w:r w:rsidR="00553E10">
        <w:rPr>
          <w:lang w:val="en-US" w:eastAsia="en-US"/>
        </w:rPr>
        <w:t>s</w:t>
      </w:r>
      <w:r w:rsidR="00553E10">
        <w:rPr>
          <w:lang w:val="en-US" w:eastAsia="en-US"/>
        </w:rPr>
        <w:t xml:space="preserve"> </w:t>
      </w:r>
      <w:r w:rsidR="00553E10">
        <w:rPr>
          <w:lang w:val="en-US" w:eastAsia="en-US"/>
        </w:rPr>
        <w:t xml:space="preserve">of </w:t>
      </w:r>
      <w:r w:rsidR="00553E10">
        <w:rPr>
          <w:lang w:val="en-US" w:eastAsia="en-US"/>
        </w:rPr>
        <w:t xml:space="preserve">HRR </w:t>
      </w:r>
      <w:r w:rsidR="00553E10">
        <w:rPr>
          <w:lang w:val="en-US" w:eastAsia="en-US"/>
        </w:rPr>
        <w:t>and</w:t>
      </w:r>
      <w:r>
        <w:rPr>
          <w:lang w:val="en-US" w:eastAsia="en-US"/>
        </w:rPr>
        <w:t xml:space="preserve"> SPR </w:t>
      </w:r>
      <w:r w:rsidRPr="00040FB1">
        <w:rPr>
          <w:lang w:val="en-US" w:eastAsia="en-US"/>
        </w:rPr>
        <w:t xml:space="preserve">decrease with increasing time for increasing Bi content in the composite. Also, the </w:t>
      </w:r>
      <w:r>
        <w:rPr>
          <w:lang w:val="en-US" w:eastAsia="en-US"/>
        </w:rPr>
        <w:t xml:space="preserve">two </w:t>
      </w:r>
      <w:r w:rsidRPr="00040FB1">
        <w:rPr>
          <w:lang w:val="en-US" w:eastAsia="en-US"/>
        </w:rPr>
        <w:t>peaks shift to the right for increasing Bi content. Th</w:t>
      </w:r>
      <w:r w:rsidR="001E2C80">
        <w:rPr>
          <w:lang w:val="en-US" w:eastAsia="en-US"/>
        </w:rPr>
        <w:t xml:space="preserve">ese are attributed </w:t>
      </w:r>
      <w:r w:rsidRPr="00040FB1">
        <w:rPr>
          <w:lang w:val="en-US" w:eastAsia="en-US"/>
        </w:rPr>
        <w:t>to the better thermal conductivity of Bi in the matrix which allows received heat to spread inside the composite. Besides, Bi imparts stronger char-forming ability to the matrix.</w:t>
      </w:r>
      <w:r>
        <w:rPr>
          <w:vertAlign w:val="superscript"/>
          <w:lang w:val="en-US" w:eastAsia="en-US"/>
        </w:rPr>
        <w:t>7</w:t>
      </w:r>
      <w:r w:rsidRPr="00040FB1">
        <w:rPr>
          <w:lang w:val="en-US" w:eastAsia="en-US"/>
        </w:rPr>
        <w:t xml:space="preserve"> In addition, time to ignition, seems to decrease with increasing Bi content which further suggest the synergy of Bi in promoting aromatization structures in the condensed phase of the epoxy. </w:t>
      </w:r>
      <w:r w:rsidR="001E2C80">
        <w:rPr>
          <w:lang w:val="en-US" w:eastAsia="en-US"/>
        </w:rPr>
        <w:t xml:space="preserve">Furthermore, </w:t>
      </w:r>
      <w:r w:rsidR="001E2C80">
        <w:t>t</w:t>
      </w:r>
      <w:r w:rsidR="001E2C80" w:rsidRPr="001E2C80">
        <w:t>he area under each HRR vs time profile indicates the total heat release (THR). In Fig</w:t>
      </w:r>
      <w:r w:rsidR="001E2C80">
        <w:t>ure 2(a),</w:t>
      </w:r>
      <w:r w:rsidR="001E2C80" w:rsidRPr="001E2C80">
        <w:t xml:space="preserve"> the neat </w:t>
      </w:r>
      <w:r w:rsidR="001E2C80">
        <w:t xml:space="preserve">Ampreg21 </w:t>
      </w:r>
      <w:r w:rsidR="001E2C80" w:rsidRPr="001E2C80">
        <w:t xml:space="preserve">epoxy sample have the highest THR. Just like peak HRR, THR values decrease with increasing Bi additives. </w:t>
      </w:r>
    </w:p>
    <w:p w:rsidR="001E2C80" w:rsidRPr="001E2C80" w:rsidRDefault="001E2C80" w:rsidP="00335963">
      <w:pPr>
        <w:jc w:val="both"/>
        <w:rPr>
          <w:lang w:val="en-US"/>
        </w:rPr>
      </w:pPr>
      <w:r w:rsidRPr="001E2C80">
        <w:rPr>
          <w:lang w:val="en-US"/>
        </w:rPr>
        <w:t>Fig</w:t>
      </w:r>
      <w:r>
        <w:rPr>
          <w:lang w:val="en-US"/>
        </w:rPr>
        <w:t xml:space="preserve">ure 3 (a) -Ampreg21 neat and (b) – </w:t>
      </w:r>
      <w:r>
        <w:rPr>
          <w:noProof/>
        </w:rPr>
        <w:t>Ampreg</w:t>
      </w:r>
      <w:r>
        <w:rPr>
          <w:noProof/>
        </w:rPr>
        <w:t>21</w:t>
      </w:r>
      <w:r w:rsidRPr="00190CD6">
        <w:rPr>
          <w:noProof/>
        </w:rPr>
        <w:t xml:space="preserve">-0.46 wt% Bi </w:t>
      </w:r>
      <w:r>
        <w:rPr>
          <w:noProof/>
        </w:rPr>
        <w:t>binary composite</w:t>
      </w:r>
      <w:r>
        <w:rPr>
          <w:noProof/>
        </w:rPr>
        <w:t>,</w:t>
      </w:r>
      <w:r w:rsidRPr="001E2C80">
        <w:rPr>
          <w:lang w:val="en-US"/>
        </w:rPr>
        <w:t xml:space="preserve"> show the role of external heat fluxes on the burning </w:t>
      </w:r>
      <w:proofErr w:type="spellStart"/>
      <w:r w:rsidRPr="001E2C80">
        <w:rPr>
          <w:lang w:val="en-US"/>
        </w:rPr>
        <w:t>behaviour</w:t>
      </w:r>
      <w:proofErr w:type="spellEnd"/>
      <w:r w:rsidRPr="001E2C80">
        <w:rPr>
          <w:lang w:val="en-US"/>
        </w:rPr>
        <w:t xml:space="preserve"> of the samples. The HRR profiles shift to the left for higher external heat flux with the corresponding shorter time</w:t>
      </w:r>
      <w:r>
        <w:rPr>
          <w:lang w:val="en-US"/>
        </w:rPr>
        <w:t>-</w:t>
      </w:r>
      <w:r w:rsidRPr="001E2C80">
        <w:rPr>
          <w:lang w:val="en-US"/>
        </w:rPr>
        <w:t>to</w:t>
      </w:r>
      <w:r>
        <w:rPr>
          <w:lang w:val="en-US"/>
        </w:rPr>
        <w:t>-</w:t>
      </w:r>
      <w:r w:rsidRPr="001E2C80">
        <w:rPr>
          <w:lang w:val="en-US"/>
        </w:rPr>
        <w:t>ignition. Also, the peak HRR decrease for smaller external heat flux. Thus, for the epoxy neat sample, Fig</w:t>
      </w:r>
      <w:r>
        <w:rPr>
          <w:lang w:val="en-US"/>
        </w:rPr>
        <w:t>ure 3(a)</w:t>
      </w:r>
      <w:r w:rsidRPr="001E2C80">
        <w:rPr>
          <w:lang w:val="en-US"/>
        </w:rPr>
        <w:t>, irradiated by 50 kW/m</w:t>
      </w:r>
      <w:r w:rsidRPr="001E2C80">
        <w:rPr>
          <w:vertAlign w:val="superscript"/>
          <w:lang w:val="en-US"/>
        </w:rPr>
        <w:t>2</w:t>
      </w:r>
      <w:r w:rsidRPr="001E2C80">
        <w:rPr>
          <w:lang w:val="en-US"/>
        </w:rPr>
        <w:t xml:space="preserve">, time to ignition is 38 s as compared to </w:t>
      </w:r>
      <w:r w:rsidR="00335963">
        <w:rPr>
          <w:lang w:val="en-US"/>
        </w:rPr>
        <w:t xml:space="preserve">    </w:t>
      </w:r>
      <w:r w:rsidRPr="001E2C80">
        <w:rPr>
          <w:lang w:val="en-US"/>
        </w:rPr>
        <w:t>89 s from the 35 kW/m</w:t>
      </w:r>
      <w:r w:rsidRPr="001E2C80">
        <w:rPr>
          <w:vertAlign w:val="superscript"/>
          <w:lang w:val="en-US"/>
        </w:rPr>
        <w:t>2</w:t>
      </w:r>
      <w:r w:rsidRPr="001E2C80">
        <w:rPr>
          <w:lang w:val="en-US"/>
        </w:rPr>
        <w:t xml:space="preserve"> irradiation.</w:t>
      </w:r>
    </w:p>
    <w:p w:rsidR="001E2C80" w:rsidRPr="001E2C80" w:rsidRDefault="001E2C80" w:rsidP="001E2C80">
      <w:pPr>
        <w:rPr>
          <w:lang w:val="en-US"/>
        </w:rPr>
      </w:pPr>
      <w:r w:rsidRPr="001E2C80">
        <w:rPr>
          <w:lang w:val="en-US"/>
        </w:rPr>
        <w:t>Just like THR, the increasing presence of Bi additives in the composites, decrease MARHE and FIGRA values of the samples.</w:t>
      </w:r>
      <w:r w:rsidR="00335963">
        <w:rPr>
          <w:vertAlign w:val="superscript"/>
          <w:lang w:val="en-US"/>
        </w:rPr>
        <w:t>7</w:t>
      </w:r>
      <w:r w:rsidRPr="001E2C80">
        <w:rPr>
          <w:lang w:val="en-US"/>
        </w:rPr>
        <w:t xml:space="preserve"> See Tables 1 and 2. </w:t>
      </w:r>
    </w:p>
    <w:p w:rsidR="00335963" w:rsidRPr="00335963" w:rsidRDefault="00335963" w:rsidP="00151554">
      <w:pPr>
        <w:jc w:val="both"/>
        <w:rPr>
          <w:lang w:val="en-US"/>
        </w:rPr>
      </w:pPr>
      <w:r w:rsidRPr="00335963">
        <w:rPr>
          <w:lang w:val="en-US"/>
        </w:rPr>
        <w:t xml:space="preserve">Smoke production rate (SPR) is one of the fire safety parameters in thermal investigations of a material. SPR is </w:t>
      </w:r>
      <w:r>
        <w:rPr>
          <w:lang w:val="en-US"/>
        </w:rPr>
        <w:t xml:space="preserve">related to </w:t>
      </w:r>
      <w:r w:rsidRPr="00335963">
        <w:rPr>
          <w:lang w:val="en-US"/>
        </w:rPr>
        <w:t>Smoke Growth Rate Index (SMOGRA) and</w:t>
      </w:r>
      <w:r>
        <w:rPr>
          <w:lang w:val="en-US"/>
        </w:rPr>
        <w:t xml:space="preserve"> the</w:t>
      </w:r>
      <w:r w:rsidRPr="00335963">
        <w:rPr>
          <w:lang w:val="en-US"/>
        </w:rPr>
        <w:t xml:space="preserve"> Total Smoke Release (TSR)</w:t>
      </w:r>
      <w:r>
        <w:rPr>
          <w:lang w:val="en-US"/>
        </w:rPr>
        <w:t xml:space="preserve"> of a burning sample</w:t>
      </w:r>
      <w:r w:rsidRPr="00335963">
        <w:rPr>
          <w:lang w:val="en-US"/>
        </w:rPr>
        <w:t>. In the case of toxicity, for all samples irradiated by either 35 or 50 kW/m</w:t>
      </w:r>
      <w:r w:rsidRPr="00335963">
        <w:rPr>
          <w:vertAlign w:val="superscript"/>
          <w:lang w:val="en-US"/>
        </w:rPr>
        <w:t>2</w:t>
      </w:r>
      <w:r w:rsidRPr="00335963">
        <w:rPr>
          <w:lang w:val="en-US"/>
        </w:rPr>
        <w:t xml:space="preserve"> external heat fluxes, the smoke spread, SMOGRA values decrease with increasing Bi content.</w:t>
      </w:r>
      <w:r>
        <w:rPr>
          <w:lang w:val="en-US"/>
        </w:rPr>
        <w:t xml:space="preserve"> One such example is shown in Figure 2(b).</w:t>
      </w:r>
      <w:r w:rsidRPr="00335963">
        <w:rPr>
          <w:lang w:val="en-US"/>
        </w:rPr>
        <w:t xml:space="preserve"> </w:t>
      </w:r>
    </w:p>
    <w:p w:rsidR="001E2C80" w:rsidRPr="00151554" w:rsidRDefault="00335963" w:rsidP="00151554">
      <w:pPr>
        <w:jc w:val="both"/>
      </w:pPr>
      <w:r>
        <w:t>Tables 1 and 2 show all the summary of the thermal performance parametric properties of the Ampreg21 neat and with Bi additives binary samples that were subjected to the two external heat fluxes of 35 and 50 kW/m</w:t>
      </w:r>
      <w:r w:rsidRPr="00151554">
        <w:rPr>
          <w:vertAlign w:val="superscript"/>
        </w:rPr>
        <w:t>2</w:t>
      </w:r>
      <w:r>
        <w:t>.</w:t>
      </w:r>
      <w:r w:rsidR="00151554">
        <w:t xml:space="preserve"> All parametric values decrease with increasing Bi content. Similar study by </w:t>
      </w:r>
      <w:r w:rsidR="00151554" w:rsidRPr="00040FB1">
        <w:rPr>
          <w:noProof/>
          <w:szCs w:val="20"/>
        </w:rPr>
        <w:t>Xu</w:t>
      </w:r>
      <w:r w:rsidR="00151554">
        <w:rPr>
          <w:noProof/>
          <w:szCs w:val="20"/>
        </w:rPr>
        <w:t xml:space="preserve"> et al.</w:t>
      </w:r>
      <w:r w:rsidR="00225F1A">
        <w:rPr>
          <w:noProof/>
          <w:szCs w:val="20"/>
          <w:vertAlign w:val="superscript"/>
        </w:rPr>
        <w:t>7</w:t>
      </w:r>
      <w:r w:rsidR="00151554">
        <w:rPr>
          <w:noProof/>
          <w:szCs w:val="20"/>
          <w:vertAlign w:val="superscript"/>
        </w:rPr>
        <w:t xml:space="preserve"> </w:t>
      </w:r>
      <w:r w:rsidR="00151554">
        <w:rPr>
          <w:noProof/>
          <w:szCs w:val="20"/>
        </w:rPr>
        <w:t>confrims the flame retardant behaviour of Bi in epoxy matrix.</w:t>
      </w:r>
    </w:p>
    <w:p w:rsidR="00040FB1" w:rsidRPr="00040FB1" w:rsidRDefault="00040FB1" w:rsidP="00151554">
      <w:pPr>
        <w:jc w:val="both"/>
        <w:rPr>
          <w:lang w:val="en-US" w:eastAsia="en-US"/>
        </w:rPr>
      </w:pPr>
    </w:p>
    <w:p w:rsidR="00151554" w:rsidRPr="0099768D" w:rsidRDefault="00151554" w:rsidP="00151554">
      <w:pPr>
        <w:pStyle w:val="Heading1"/>
      </w:pPr>
      <w:r>
        <w:t>Conclusions</w:t>
      </w:r>
      <w:r>
        <w:t xml:space="preserve"> </w:t>
      </w:r>
    </w:p>
    <w:p w:rsidR="00151554" w:rsidRPr="00151554" w:rsidRDefault="00151554" w:rsidP="00151554">
      <w:pPr>
        <w:jc w:val="both"/>
        <w:rPr>
          <w:iCs/>
          <w:lang w:val="en-US"/>
        </w:rPr>
      </w:pPr>
      <w:r>
        <w:rPr>
          <w:iCs/>
        </w:rPr>
        <w:t xml:space="preserve">The </w:t>
      </w:r>
      <w:r>
        <w:rPr>
          <w:iCs/>
        </w:rPr>
        <w:t>f</w:t>
      </w:r>
      <w:r w:rsidRPr="00151554">
        <w:rPr>
          <w:iCs/>
          <w:lang w:val="en-US"/>
        </w:rPr>
        <w:t xml:space="preserve">ire performance of the </w:t>
      </w:r>
      <w:r>
        <w:rPr>
          <w:iCs/>
          <w:lang w:val="en-US"/>
        </w:rPr>
        <w:t xml:space="preserve">Ampreg21 </w:t>
      </w:r>
      <w:r w:rsidRPr="00151554">
        <w:rPr>
          <w:iCs/>
          <w:lang w:val="en-US"/>
        </w:rPr>
        <w:t xml:space="preserve">epoxy-Bi composite samples have been investigated. All the fire performance parameters, namely: peak HRR, peak SPR, MARHE, FIGRA and SMOGRA, obtained from the Cone Calorimeter measurements, decrease with increasing addition of Bi </w:t>
      </w:r>
      <w:proofErr w:type="spellStart"/>
      <w:r w:rsidRPr="00151554">
        <w:rPr>
          <w:iCs/>
          <w:lang w:val="en-US"/>
        </w:rPr>
        <w:t>nano</w:t>
      </w:r>
      <w:proofErr w:type="spellEnd"/>
      <w:r w:rsidRPr="00151554">
        <w:rPr>
          <w:iCs/>
          <w:lang w:val="en-US"/>
        </w:rPr>
        <w:t xml:space="preserve">-powder in the epoxy (from 0.46, 0.9 and 1.38 </w:t>
      </w:r>
      <w:proofErr w:type="spellStart"/>
      <w:r w:rsidRPr="00151554">
        <w:rPr>
          <w:iCs/>
          <w:lang w:val="en-US"/>
        </w:rPr>
        <w:t>wt</w:t>
      </w:r>
      <w:proofErr w:type="spellEnd"/>
      <w:r w:rsidRPr="00151554">
        <w:rPr>
          <w:iCs/>
          <w:lang w:val="en-US"/>
        </w:rPr>
        <w:t>%). The reason being the peculiar nature of Bi: better thermal conductivity in dispersion heat received and its ability in imparting stronger char formation in the composite</w:t>
      </w:r>
      <w:r>
        <w:rPr>
          <w:iCs/>
          <w:lang w:val="en-US"/>
        </w:rPr>
        <w:t xml:space="preserve">; thereby, serving as flame retardant in the organic Ampreg21 epoxy. </w:t>
      </w:r>
      <w:r w:rsidRPr="00151554">
        <w:rPr>
          <w:iCs/>
          <w:lang w:val="en-US"/>
        </w:rPr>
        <w:t xml:space="preserve"> </w:t>
      </w:r>
    </w:p>
    <w:p w:rsidR="00040FB1" w:rsidRPr="00A552A5" w:rsidRDefault="00040FB1" w:rsidP="00151554">
      <w:pPr>
        <w:jc w:val="both"/>
        <w:rPr>
          <w:lang w:eastAsia="en-US"/>
        </w:rPr>
      </w:pPr>
    </w:p>
    <w:p w:rsidR="00910C55" w:rsidRDefault="00830D7D" w:rsidP="00EA776B">
      <w:pPr>
        <w:pStyle w:val="EndNoteBibliographyTitle"/>
      </w:pPr>
      <w:r w:rsidRPr="00EA776B">
        <w:t>References</w:t>
      </w:r>
    </w:p>
    <w:p w:rsidR="002B1577" w:rsidRDefault="00910C55" w:rsidP="00F8735D">
      <w:pPr>
        <w:ind w:left="720" w:hanging="720"/>
        <w:jc w:val="both"/>
        <w:rPr>
          <w:szCs w:val="20"/>
          <w:lang w:val="en-US"/>
        </w:rPr>
      </w:pPr>
      <w:r w:rsidRPr="00F8735D">
        <w:rPr>
          <w:noProof/>
          <w:lang w:val="en-GB"/>
        </w:rPr>
        <w:fldChar w:fldCharType="begin"/>
      </w:r>
      <w:r>
        <w:instrText xml:space="preserve"> ADDIN EN.REFLIST </w:instrText>
      </w:r>
      <w:r w:rsidRPr="00F8735D">
        <w:rPr>
          <w:noProof/>
          <w:lang w:val="en-GB"/>
        </w:rPr>
        <w:fldChar w:fldCharType="separate"/>
      </w:r>
      <w:r w:rsidR="001820A3" w:rsidRPr="001820A3">
        <w:t>[</w:t>
      </w:r>
      <w:r w:rsidR="00D9608F">
        <w:t>1</w:t>
      </w:r>
      <w:r w:rsidR="001820A3" w:rsidRPr="001820A3">
        <w:t>]</w:t>
      </w:r>
      <w:r w:rsidR="001820A3" w:rsidRPr="001820A3">
        <w:tab/>
      </w:r>
      <w:r w:rsidR="0097004A" w:rsidRPr="00E746A2">
        <w:rPr>
          <w:szCs w:val="20"/>
        </w:rPr>
        <w:t>K</w:t>
      </w:r>
      <w:r w:rsidR="0097004A">
        <w:rPr>
          <w:szCs w:val="20"/>
        </w:rPr>
        <w:t>.</w:t>
      </w:r>
      <w:r w:rsidR="0097004A" w:rsidRPr="00E746A2">
        <w:rPr>
          <w:szCs w:val="20"/>
        </w:rPr>
        <w:t xml:space="preserve"> Korniejenko, B</w:t>
      </w:r>
      <w:r w:rsidR="0097004A">
        <w:rPr>
          <w:szCs w:val="20"/>
        </w:rPr>
        <w:t>.</w:t>
      </w:r>
      <w:r w:rsidR="0097004A" w:rsidRPr="00E746A2">
        <w:rPr>
          <w:szCs w:val="20"/>
        </w:rPr>
        <w:t xml:space="preserve"> Tyliszczak</w:t>
      </w:r>
      <w:r w:rsidR="0097004A">
        <w:rPr>
          <w:szCs w:val="20"/>
        </w:rPr>
        <w:t>,</w:t>
      </w:r>
      <w:r w:rsidR="0097004A" w:rsidRPr="00E746A2">
        <w:rPr>
          <w:szCs w:val="20"/>
        </w:rPr>
        <w:t xml:space="preserve"> M</w:t>
      </w:r>
      <w:r w:rsidR="0097004A">
        <w:rPr>
          <w:szCs w:val="20"/>
        </w:rPr>
        <w:t>.</w:t>
      </w:r>
      <w:r w:rsidR="0097004A" w:rsidRPr="00E746A2">
        <w:rPr>
          <w:szCs w:val="20"/>
        </w:rPr>
        <w:t xml:space="preserve"> Łach, J</w:t>
      </w:r>
      <w:r w:rsidR="0097004A">
        <w:rPr>
          <w:szCs w:val="20"/>
        </w:rPr>
        <w:t>.</w:t>
      </w:r>
      <w:r w:rsidR="0097004A" w:rsidRPr="00E746A2">
        <w:rPr>
          <w:szCs w:val="20"/>
        </w:rPr>
        <w:t xml:space="preserve"> Mikuła, M</w:t>
      </w:r>
      <w:r w:rsidR="0097004A">
        <w:rPr>
          <w:szCs w:val="20"/>
        </w:rPr>
        <w:t>.</w:t>
      </w:r>
      <w:r w:rsidR="0097004A" w:rsidRPr="00E746A2">
        <w:rPr>
          <w:szCs w:val="20"/>
        </w:rPr>
        <w:t xml:space="preserve"> Hebdowska-Krupa</w:t>
      </w:r>
      <w:r w:rsidR="0097004A">
        <w:rPr>
          <w:szCs w:val="20"/>
        </w:rPr>
        <w:t xml:space="preserve"> </w:t>
      </w:r>
      <w:r w:rsidR="0097004A" w:rsidRPr="00E746A2">
        <w:rPr>
          <w:szCs w:val="20"/>
        </w:rPr>
        <w:t>and D</w:t>
      </w:r>
      <w:r w:rsidR="0097004A">
        <w:rPr>
          <w:szCs w:val="20"/>
        </w:rPr>
        <w:t>.</w:t>
      </w:r>
      <w:r w:rsidR="0097004A" w:rsidRPr="00E746A2">
        <w:rPr>
          <w:szCs w:val="20"/>
        </w:rPr>
        <w:t xml:space="preserve"> </w:t>
      </w:r>
      <w:proofErr w:type="spellStart"/>
      <w:r w:rsidR="0097004A" w:rsidRPr="00E746A2">
        <w:rPr>
          <w:szCs w:val="20"/>
        </w:rPr>
        <w:t>Mierzwiński</w:t>
      </w:r>
      <w:proofErr w:type="spellEnd"/>
      <w:r w:rsidR="0097004A">
        <w:rPr>
          <w:szCs w:val="20"/>
        </w:rPr>
        <w:t>, “</w:t>
      </w:r>
      <w:r w:rsidR="0097004A" w:rsidRPr="00E746A2">
        <w:rPr>
          <w:szCs w:val="20"/>
        </w:rPr>
        <w:t>Organic Polymers Reinforced Inorganic Polymers - An Overview</w:t>
      </w:r>
      <w:r w:rsidR="0097004A">
        <w:rPr>
          <w:szCs w:val="20"/>
        </w:rPr>
        <w:t>,”</w:t>
      </w:r>
      <w:r w:rsidR="0097004A" w:rsidRPr="00E746A2">
        <w:rPr>
          <w:szCs w:val="20"/>
        </w:rPr>
        <w:t xml:space="preserve"> </w:t>
      </w:r>
      <w:r w:rsidR="0097004A" w:rsidRPr="00E746A2">
        <w:rPr>
          <w:i/>
          <w:szCs w:val="20"/>
        </w:rPr>
        <w:t>IOP Conf. Ser.: Mater. Sci. Eng</w:t>
      </w:r>
      <w:r w:rsidR="0097004A" w:rsidRPr="00E746A2">
        <w:rPr>
          <w:szCs w:val="20"/>
        </w:rPr>
        <w:t xml:space="preserve">. </w:t>
      </w:r>
      <w:r w:rsidR="0097004A" w:rsidRPr="0097004A">
        <w:rPr>
          <w:szCs w:val="20"/>
        </w:rPr>
        <w:t>doi:10.1088/1757-899X/416/1/012090</w:t>
      </w:r>
      <w:r w:rsidR="0097004A">
        <w:rPr>
          <w:szCs w:val="20"/>
        </w:rPr>
        <w:t xml:space="preserve">, </w:t>
      </w:r>
      <w:r w:rsidR="0097004A" w:rsidRPr="00E746A2">
        <w:rPr>
          <w:szCs w:val="20"/>
        </w:rPr>
        <w:t>2018</w:t>
      </w:r>
      <w:r w:rsidR="0097004A">
        <w:t>.</w:t>
      </w:r>
    </w:p>
    <w:p w:rsidR="00712724" w:rsidRDefault="002B1577" w:rsidP="00F8735D">
      <w:pPr>
        <w:ind w:left="720" w:hanging="720"/>
        <w:jc w:val="both"/>
        <w:rPr>
          <w:szCs w:val="20"/>
        </w:rPr>
      </w:pPr>
      <w:r>
        <w:rPr>
          <w:lang w:val="en-US"/>
        </w:rPr>
        <w:t xml:space="preserve">[2]        </w:t>
      </w:r>
      <w:r w:rsidR="00712724">
        <w:rPr>
          <w:lang w:val="en-US"/>
        </w:rPr>
        <w:t xml:space="preserve">    </w:t>
      </w:r>
      <w:r w:rsidR="00712724">
        <w:rPr>
          <w:szCs w:val="20"/>
        </w:rPr>
        <w:t xml:space="preserve">L. </w:t>
      </w:r>
      <w:r w:rsidR="00712724" w:rsidRPr="00F73908">
        <w:rPr>
          <w:szCs w:val="20"/>
        </w:rPr>
        <w:t xml:space="preserve">Guo, </w:t>
      </w:r>
      <w:r w:rsidR="00712724">
        <w:rPr>
          <w:szCs w:val="20"/>
        </w:rPr>
        <w:t xml:space="preserve">W. </w:t>
      </w:r>
      <w:r w:rsidR="00712724" w:rsidRPr="00F73908">
        <w:rPr>
          <w:szCs w:val="20"/>
        </w:rPr>
        <w:t xml:space="preserve">Yuan, </w:t>
      </w:r>
      <w:r w:rsidR="00712724">
        <w:rPr>
          <w:szCs w:val="20"/>
        </w:rPr>
        <w:t xml:space="preserve">Z. </w:t>
      </w:r>
      <w:r w:rsidR="00712724" w:rsidRPr="00F73908">
        <w:rPr>
          <w:szCs w:val="20"/>
        </w:rPr>
        <w:t>Lu</w:t>
      </w:r>
      <w:r w:rsidR="00712724">
        <w:rPr>
          <w:szCs w:val="20"/>
        </w:rPr>
        <w:t>,</w:t>
      </w:r>
      <w:r w:rsidR="00712724" w:rsidRPr="00F73908">
        <w:rPr>
          <w:szCs w:val="20"/>
        </w:rPr>
        <w:t xml:space="preserve"> </w:t>
      </w:r>
      <w:r w:rsidR="00712724">
        <w:rPr>
          <w:szCs w:val="20"/>
        </w:rPr>
        <w:t xml:space="preserve">C.M. </w:t>
      </w:r>
      <w:r w:rsidR="00712724" w:rsidRPr="00F73908">
        <w:rPr>
          <w:szCs w:val="20"/>
        </w:rPr>
        <w:t>Li</w:t>
      </w:r>
      <w:r w:rsidR="00712724">
        <w:rPr>
          <w:szCs w:val="20"/>
        </w:rPr>
        <w:t>,</w:t>
      </w:r>
      <w:r w:rsidR="00712724" w:rsidRPr="00F73908">
        <w:rPr>
          <w:szCs w:val="20"/>
        </w:rPr>
        <w:t xml:space="preserve"> </w:t>
      </w:r>
      <w:r w:rsidR="00712724">
        <w:rPr>
          <w:szCs w:val="20"/>
        </w:rPr>
        <w:t>“</w:t>
      </w:r>
      <w:r w:rsidR="00712724" w:rsidRPr="00F73908">
        <w:rPr>
          <w:szCs w:val="20"/>
        </w:rPr>
        <w:t>Polymer/</w:t>
      </w:r>
      <w:proofErr w:type="spellStart"/>
      <w:r w:rsidR="00712724" w:rsidRPr="00F73908">
        <w:rPr>
          <w:szCs w:val="20"/>
        </w:rPr>
        <w:t>nanosilver</w:t>
      </w:r>
      <w:proofErr w:type="spellEnd"/>
      <w:r w:rsidR="00712724" w:rsidRPr="00F73908">
        <w:rPr>
          <w:szCs w:val="20"/>
        </w:rPr>
        <w:t xml:space="preserve"> composite coatings for</w:t>
      </w:r>
      <w:r w:rsidR="00712724">
        <w:rPr>
          <w:szCs w:val="20"/>
        </w:rPr>
        <w:t xml:space="preserve"> </w:t>
      </w:r>
      <w:r w:rsidR="00712724" w:rsidRPr="00F73908">
        <w:rPr>
          <w:szCs w:val="20"/>
        </w:rPr>
        <w:t>antibacterial applications</w:t>
      </w:r>
      <w:r w:rsidR="00712724">
        <w:rPr>
          <w:szCs w:val="20"/>
        </w:rPr>
        <w:t>,”</w:t>
      </w:r>
      <w:r w:rsidR="00712724" w:rsidRPr="00F73908">
        <w:rPr>
          <w:i/>
          <w:szCs w:val="20"/>
        </w:rPr>
        <w:t xml:space="preserve"> </w:t>
      </w:r>
      <w:r w:rsidR="00712724" w:rsidRPr="00712724">
        <w:rPr>
          <w:i/>
          <w:szCs w:val="20"/>
        </w:rPr>
        <w:t xml:space="preserve">Collision &amp; Surface Analysis: </w:t>
      </w:r>
      <w:proofErr w:type="spellStart"/>
      <w:r w:rsidR="00712724" w:rsidRPr="00712724">
        <w:rPr>
          <w:i/>
          <w:szCs w:val="20"/>
        </w:rPr>
        <w:t>Physicochem</w:t>
      </w:r>
      <w:proofErr w:type="spellEnd"/>
      <w:r w:rsidR="00712724" w:rsidRPr="00712724">
        <w:rPr>
          <w:i/>
          <w:szCs w:val="20"/>
        </w:rPr>
        <w:t xml:space="preserve">. </w:t>
      </w:r>
      <w:proofErr w:type="spellStart"/>
      <w:r w:rsidR="00712724" w:rsidRPr="00712724">
        <w:rPr>
          <w:i/>
          <w:szCs w:val="20"/>
        </w:rPr>
        <w:t>Eng</w:t>
      </w:r>
      <w:proofErr w:type="spellEnd"/>
      <w:r w:rsidR="00712724" w:rsidRPr="00712724">
        <w:rPr>
          <w:i/>
          <w:szCs w:val="20"/>
        </w:rPr>
        <w:t>, Aspects</w:t>
      </w:r>
      <w:r w:rsidR="00712724">
        <w:rPr>
          <w:szCs w:val="20"/>
        </w:rPr>
        <w:t>,</w:t>
      </w:r>
      <w:r w:rsidR="00712724" w:rsidRPr="00F73908">
        <w:rPr>
          <w:szCs w:val="20"/>
        </w:rPr>
        <w:t xml:space="preserve"> </w:t>
      </w:r>
      <w:r w:rsidR="00712724">
        <w:rPr>
          <w:szCs w:val="20"/>
        </w:rPr>
        <w:t xml:space="preserve">vol. </w:t>
      </w:r>
      <w:r w:rsidR="00712724" w:rsidRPr="00F73908">
        <w:rPr>
          <w:szCs w:val="20"/>
        </w:rPr>
        <w:t>439</w:t>
      </w:r>
      <w:r w:rsidR="00712724">
        <w:rPr>
          <w:szCs w:val="20"/>
        </w:rPr>
        <w:t>, pp.</w:t>
      </w:r>
      <w:r w:rsidR="00712724" w:rsidRPr="00F73908">
        <w:rPr>
          <w:szCs w:val="20"/>
        </w:rPr>
        <w:t xml:space="preserve"> 69-83</w:t>
      </w:r>
      <w:r w:rsidR="00712724">
        <w:rPr>
          <w:szCs w:val="20"/>
        </w:rPr>
        <w:t>,</w:t>
      </w:r>
      <w:r w:rsidR="00712724" w:rsidRPr="00712724">
        <w:rPr>
          <w:szCs w:val="20"/>
        </w:rPr>
        <w:t xml:space="preserve"> </w:t>
      </w:r>
      <w:r w:rsidR="00712724" w:rsidRPr="00F73908">
        <w:rPr>
          <w:szCs w:val="20"/>
        </w:rPr>
        <w:t>2013</w:t>
      </w:r>
      <w:r w:rsidR="00712724">
        <w:rPr>
          <w:szCs w:val="20"/>
        </w:rPr>
        <w:t>.</w:t>
      </w:r>
    </w:p>
    <w:p w:rsidR="002A7A49" w:rsidRPr="00F8735D" w:rsidRDefault="00712724" w:rsidP="00F8735D">
      <w:pPr>
        <w:ind w:left="720" w:hanging="720"/>
        <w:jc w:val="both"/>
        <w:rPr>
          <w:szCs w:val="20"/>
        </w:rPr>
      </w:pPr>
      <w:r>
        <w:rPr>
          <w:noProof/>
          <w:lang w:val="en-US"/>
        </w:rPr>
        <w:t xml:space="preserve">[3]      </w:t>
      </w:r>
      <w:r w:rsidR="00EC67B9">
        <w:rPr>
          <w:noProof/>
          <w:lang w:val="en-US"/>
        </w:rPr>
        <w:t xml:space="preserve"> </w:t>
      </w:r>
      <w:r w:rsidR="002A7A49">
        <w:t xml:space="preserve">B. </w:t>
      </w:r>
      <w:proofErr w:type="spellStart"/>
      <w:r w:rsidR="002A7A49" w:rsidRPr="00F8735D">
        <w:rPr>
          <w:szCs w:val="20"/>
        </w:rPr>
        <w:t>Schartel</w:t>
      </w:r>
      <w:proofErr w:type="spellEnd"/>
      <w:r w:rsidR="002A7A49" w:rsidRPr="00F8735D">
        <w:rPr>
          <w:szCs w:val="20"/>
        </w:rPr>
        <w:t xml:space="preserve"> and TR Hull, "</w:t>
      </w:r>
      <w:r w:rsidR="002A7A49" w:rsidRPr="00F8735D">
        <w:rPr>
          <w:rStyle w:val="st1"/>
          <w:szCs w:val="20"/>
        </w:rPr>
        <w:t>Development of fire</w:t>
      </w:r>
      <w:r w:rsidR="002A7A49" w:rsidRPr="00F8735D">
        <w:rPr>
          <w:rStyle w:val="st1"/>
          <w:rFonts w:ascii="Cambria Math" w:hAnsi="Cambria Math" w:cs="Cambria Math"/>
          <w:szCs w:val="20"/>
        </w:rPr>
        <w:t>‐</w:t>
      </w:r>
      <w:r w:rsidR="002A7A49" w:rsidRPr="00F8735D">
        <w:rPr>
          <w:rStyle w:val="st1"/>
          <w:szCs w:val="20"/>
        </w:rPr>
        <w:t xml:space="preserve">retarded materials—Interpretation of cone calorimeter data," </w:t>
      </w:r>
      <w:r w:rsidR="002A7A49" w:rsidRPr="00F8735D">
        <w:rPr>
          <w:i/>
          <w:szCs w:val="20"/>
        </w:rPr>
        <w:t>Fire and Materials, vo.</w:t>
      </w:r>
      <w:r w:rsidR="002A7A49" w:rsidRPr="00F8735D">
        <w:rPr>
          <w:szCs w:val="20"/>
        </w:rPr>
        <w:t xml:space="preserve"> 3</w:t>
      </w:r>
      <w:r w:rsidR="00F8735D" w:rsidRPr="00F8735D">
        <w:rPr>
          <w:szCs w:val="20"/>
        </w:rPr>
        <w:t>1, pp.</w:t>
      </w:r>
      <w:r w:rsidR="002A7A49" w:rsidRPr="00F8735D">
        <w:rPr>
          <w:szCs w:val="20"/>
        </w:rPr>
        <w:t xml:space="preserve"> 327-354</w:t>
      </w:r>
      <w:r w:rsidR="00F8735D" w:rsidRPr="00F8735D">
        <w:rPr>
          <w:szCs w:val="20"/>
        </w:rPr>
        <w:t>, 2007</w:t>
      </w:r>
      <w:r w:rsidR="002A7A49" w:rsidRPr="00F8735D">
        <w:rPr>
          <w:szCs w:val="20"/>
        </w:rPr>
        <w:t>.</w:t>
      </w:r>
    </w:p>
    <w:p w:rsidR="002D6A8D" w:rsidRPr="001262F3" w:rsidRDefault="002D6A8D" w:rsidP="002D6A8D">
      <w:pPr>
        <w:pStyle w:val="Bibliography"/>
        <w:ind w:left="720" w:hanging="720"/>
        <w:rPr>
          <w:szCs w:val="20"/>
          <w:lang w:val="en-GB"/>
        </w:rPr>
      </w:pPr>
      <w:r>
        <w:t xml:space="preserve">[4]          </w:t>
      </w:r>
      <w:r w:rsidRPr="001262F3">
        <w:rPr>
          <w:szCs w:val="20"/>
        </w:rPr>
        <w:t>Q.T. N</w:t>
      </w:r>
      <w:r>
        <w:rPr>
          <w:szCs w:val="20"/>
        </w:rPr>
        <w:t>guyen</w:t>
      </w:r>
      <w:r w:rsidRPr="001262F3">
        <w:rPr>
          <w:szCs w:val="20"/>
        </w:rPr>
        <w:t>, P. T</w:t>
      </w:r>
      <w:r>
        <w:rPr>
          <w:szCs w:val="20"/>
        </w:rPr>
        <w:t>ran</w:t>
      </w:r>
      <w:r w:rsidRPr="001262F3">
        <w:rPr>
          <w:szCs w:val="20"/>
        </w:rPr>
        <w:t>, T.D. N</w:t>
      </w:r>
      <w:r>
        <w:rPr>
          <w:szCs w:val="20"/>
        </w:rPr>
        <w:t>go</w:t>
      </w:r>
      <w:r w:rsidRPr="001262F3">
        <w:rPr>
          <w:szCs w:val="20"/>
        </w:rPr>
        <w:t xml:space="preserve"> </w:t>
      </w:r>
      <w:r>
        <w:rPr>
          <w:szCs w:val="20"/>
        </w:rPr>
        <w:t>and</w:t>
      </w:r>
      <w:r w:rsidRPr="001262F3">
        <w:rPr>
          <w:szCs w:val="20"/>
        </w:rPr>
        <w:t xml:space="preserve"> P. </w:t>
      </w:r>
      <w:proofErr w:type="spellStart"/>
      <w:r w:rsidRPr="001262F3">
        <w:rPr>
          <w:szCs w:val="20"/>
        </w:rPr>
        <w:t>M</w:t>
      </w:r>
      <w:r>
        <w:rPr>
          <w:szCs w:val="20"/>
        </w:rPr>
        <w:t>endis</w:t>
      </w:r>
      <w:proofErr w:type="spellEnd"/>
      <w:r>
        <w:rPr>
          <w:szCs w:val="20"/>
        </w:rPr>
        <w:t>,</w:t>
      </w:r>
      <w:r w:rsidRPr="001262F3">
        <w:rPr>
          <w:szCs w:val="20"/>
        </w:rPr>
        <w:t xml:space="preserve"> </w:t>
      </w:r>
      <w:r>
        <w:rPr>
          <w:szCs w:val="20"/>
        </w:rPr>
        <w:t>"</w:t>
      </w:r>
      <w:r w:rsidRPr="001262F3">
        <w:rPr>
          <w:szCs w:val="20"/>
        </w:rPr>
        <w:t>Experimental and computational investigations on fire resistance of GFRP composite for building façade</w:t>
      </w:r>
      <w:r>
        <w:rPr>
          <w:szCs w:val="20"/>
        </w:rPr>
        <w:t>,"</w:t>
      </w:r>
      <w:r w:rsidRPr="001262F3">
        <w:rPr>
          <w:szCs w:val="20"/>
        </w:rPr>
        <w:t xml:space="preserve"> </w:t>
      </w:r>
      <w:r w:rsidRPr="001262F3">
        <w:rPr>
          <w:i/>
          <w:iCs/>
          <w:szCs w:val="20"/>
        </w:rPr>
        <w:t>Science Direct, Composite Part B: Engineering</w:t>
      </w:r>
      <w:r w:rsidRPr="001262F3">
        <w:rPr>
          <w:szCs w:val="20"/>
        </w:rPr>
        <w:t xml:space="preserve">, </w:t>
      </w:r>
      <w:r>
        <w:rPr>
          <w:szCs w:val="20"/>
        </w:rPr>
        <w:t xml:space="preserve">vol. </w:t>
      </w:r>
      <w:r w:rsidRPr="001262F3">
        <w:rPr>
          <w:szCs w:val="20"/>
        </w:rPr>
        <w:t>62</w:t>
      </w:r>
      <w:r>
        <w:rPr>
          <w:szCs w:val="20"/>
        </w:rPr>
        <w:t xml:space="preserve">, pp. </w:t>
      </w:r>
      <w:r w:rsidRPr="001262F3">
        <w:rPr>
          <w:szCs w:val="20"/>
        </w:rPr>
        <w:t>218-229, 2014.</w:t>
      </w:r>
    </w:p>
    <w:p w:rsidR="00EC67B9" w:rsidRDefault="00B26A4F" w:rsidP="001820A3">
      <w:pPr>
        <w:pStyle w:val="EndNoteBibliography"/>
        <w:ind w:left="720" w:hanging="720"/>
        <w:rPr>
          <w:szCs w:val="20"/>
        </w:rPr>
      </w:pPr>
      <w:r>
        <w:t xml:space="preserve">[5]       </w:t>
      </w:r>
      <w:r w:rsidR="00EC67B9">
        <w:t xml:space="preserve">    </w:t>
      </w:r>
      <w:r w:rsidR="00EC67B9" w:rsidRPr="00EC67B9">
        <w:t>L.</w:t>
      </w:r>
      <w:r w:rsidR="00EC67B9" w:rsidRPr="00EC67B9">
        <w:rPr>
          <w:szCs w:val="20"/>
        </w:rPr>
        <w:t xml:space="preserve">M. Kekana, J.K.O. Asante and B Mwakikunga, “The effect of repeated washings on thermal protective performances of one most used structural firefighting turnout gear in the Gauteng Province in South Africa,” </w:t>
      </w:r>
      <w:r w:rsidR="00EC67B9" w:rsidRPr="00EC67B9">
        <w:rPr>
          <w:i/>
          <w:szCs w:val="20"/>
        </w:rPr>
        <w:t>Journal of Fire Sciences</w:t>
      </w:r>
      <w:r w:rsidR="00EC67B9" w:rsidRPr="00EC67B9">
        <w:rPr>
          <w:szCs w:val="20"/>
        </w:rPr>
        <w:t xml:space="preserve">, vol. 43, no. 1, pp. 1-8, </w:t>
      </w:r>
      <w:hyperlink r:id="rId13" w:history="1">
        <w:r w:rsidR="00EC67B9" w:rsidRPr="00EC67B9">
          <w:rPr>
            <w:rStyle w:val="Hyperlink"/>
            <w:rFonts w:ascii="Times New Roman" w:hAnsi="Times New Roman" w:cs="Times New Roman"/>
            <w:szCs w:val="20"/>
            <w:shd w:val="clear" w:color="auto" w:fill="FFFFFF"/>
          </w:rPr>
          <w:t>https://doi.org/10.1177/07349041241249635</w:t>
        </w:r>
      </w:hyperlink>
      <w:r w:rsidR="00EC67B9">
        <w:rPr>
          <w:szCs w:val="20"/>
        </w:rPr>
        <w:t>, 2024</w:t>
      </w:r>
      <w:r w:rsidR="00EC67B9" w:rsidRPr="00EC67B9">
        <w:rPr>
          <w:szCs w:val="20"/>
        </w:rPr>
        <w:t>.</w:t>
      </w:r>
    </w:p>
    <w:p w:rsidR="00711100" w:rsidRDefault="00711100" w:rsidP="00711100">
      <w:pPr>
        <w:pStyle w:val="EndNoteBibliography"/>
        <w:spacing w:after="240"/>
        <w:ind w:left="720" w:right="58" w:hanging="720"/>
        <w:rPr>
          <w:szCs w:val="20"/>
        </w:rPr>
      </w:pPr>
      <w:r>
        <w:t xml:space="preserve">[6]        </w:t>
      </w:r>
      <w:r>
        <w:rPr>
          <w:szCs w:val="20"/>
          <w:lang w:val="en-ZA"/>
        </w:rPr>
        <w:t xml:space="preserve">T.R. </w:t>
      </w:r>
      <w:r w:rsidRPr="00711100">
        <w:rPr>
          <w:szCs w:val="20"/>
          <w:lang w:val="en-ZA"/>
        </w:rPr>
        <w:t>Hull</w:t>
      </w:r>
      <w:r>
        <w:rPr>
          <w:szCs w:val="20"/>
          <w:lang w:val="en-ZA"/>
        </w:rPr>
        <w:t>, “</w:t>
      </w:r>
      <w:r w:rsidRPr="00711100">
        <w:rPr>
          <w:szCs w:val="20"/>
          <w:lang w:val="en-ZA"/>
        </w:rPr>
        <w:t>Challenges in fire testing: reaction to fire tests and assessment of fire toxicity.</w:t>
      </w:r>
      <w:r>
        <w:rPr>
          <w:szCs w:val="20"/>
          <w:lang w:val="en-ZA"/>
        </w:rPr>
        <w:t>”</w:t>
      </w:r>
      <w:r w:rsidRPr="00711100">
        <w:rPr>
          <w:szCs w:val="20"/>
          <w:lang w:val="en-ZA"/>
        </w:rPr>
        <w:t xml:space="preserve"> In: Horrocks AR and Price D (eds) </w:t>
      </w:r>
      <w:r w:rsidRPr="00711100">
        <w:rPr>
          <w:i/>
          <w:iCs/>
          <w:szCs w:val="20"/>
          <w:lang w:val="en-ZA"/>
        </w:rPr>
        <w:t>Advances in Fire Retardant Materials</w:t>
      </w:r>
      <w:r w:rsidRPr="00711100">
        <w:rPr>
          <w:szCs w:val="20"/>
          <w:lang w:val="en-ZA"/>
        </w:rPr>
        <w:t>. Woodhead Publishing, , pp.255-290</w:t>
      </w:r>
      <w:r>
        <w:rPr>
          <w:szCs w:val="20"/>
          <w:lang w:val="en-ZA"/>
        </w:rPr>
        <w:t xml:space="preserve">, </w:t>
      </w:r>
      <w:r w:rsidRPr="00711100">
        <w:rPr>
          <w:szCs w:val="20"/>
          <w:lang w:val="en-ZA"/>
        </w:rPr>
        <w:t>2008</w:t>
      </w:r>
      <w:r>
        <w:rPr>
          <w:szCs w:val="20"/>
          <w:lang w:val="en-ZA"/>
        </w:rPr>
        <w:t>.</w:t>
      </w:r>
    </w:p>
    <w:p w:rsidR="001E2C80" w:rsidRPr="00040FB1" w:rsidRDefault="00040FB1" w:rsidP="001E2C80">
      <w:pPr>
        <w:pStyle w:val="EndNoteBibliography"/>
        <w:spacing w:after="240"/>
        <w:ind w:left="720" w:right="58" w:hanging="720"/>
        <w:rPr>
          <w:szCs w:val="20"/>
          <w:lang w:val="en-US"/>
        </w:rPr>
      </w:pPr>
      <w:r>
        <w:t xml:space="preserve">[7]      </w:t>
      </w:r>
      <w:r w:rsidR="001E2C80">
        <w:t xml:space="preserve">    </w:t>
      </w:r>
      <w:r w:rsidR="001E2C80">
        <w:rPr>
          <w:szCs w:val="20"/>
          <w:lang w:val="en-ZA"/>
        </w:rPr>
        <w:t xml:space="preserve">Z.S. </w:t>
      </w:r>
      <w:r w:rsidR="001E2C80" w:rsidRPr="00040FB1">
        <w:rPr>
          <w:szCs w:val="20"/>
          <w:lang w:val="en-ZA"/>
        </w:rPr>
        <w:t>Xu</w:t>
      </w:r>
      <w:r w:rsidR="001E2C80">
        <w:rPr>
          <w:szCs w:val="20"/>
          <w:lang w:val="en-ZA"/>
        </w:rPr>
        <w:t>,</w:t>
      </w:r>
      <w:r w:rsidR="001E2C80" w:rsidRPr="00040FB1">
        <w:rPr>
          <w:szCs w:val="20"/>
          <w:lang w:val="en-ZA"/>
        </w:rPr>
        <w:t xml:space="preserve"> </w:t>
      </w:r>
      <w:r w:rsidR="001E2C80">
        <w:rPr>
          <w:szCs w:val="20"/>
          <w:lang w:val="en-ZA"/>
        </w:rPr>
        <w:t xml:space="preserve">H.Y. </w:t>
      </w:r>
      <w:r w:rsidR="001E2C80" w:rsidRPr="00040FB1">
        <w:rPr>
          <w:szCs w:val="20"/>
          <w:lang w:val="en-ZA"/>
        </w:rPr>
        <w:t>Jia</w:t>
      </w:r>
      <w:r w:rsidR="001E2C80">
        <w:rPr>
          <w:szCs w:val="20"/>
          <w:lang w:val="en-ZA"/>
        </w:rPr>
        <w:t>,</w:t>
      </w:r>
      <w:r w:rsidR="001E2C80" w:rsidRPr="00040FB1">
        <w:rPr>
          <w:szCs w:val="20"/>
          <w:lang w:val="en-ZA"/>
        </w:rPr>
        <w:t xml:space="preserve"> </w:t>
      </w:r>
      <w:r w:rsidR="001E2C80">
        <w:rPr>
          <w:szCs w:val="20"/>
          <w:lang w:val="en-ZA"/>
        </w:rPr>
        <w:t xml:space="preserve">L. </w:t>
      </w:r>
      <w:r w:rsidR="001E2C80" w:rsidRPr="00040FB1">
        <w:rPr>
          <w:szCs w:val="20"/>
          <w:lang w:val="en-ZA"/>
        </w:rPr>
        <w:t>Yan</w:t>
      </w:r>
      <w:r w:rsidR="001E2C80">
        <w:rPr>
          <w:szCs w:val="20"/>
          <w:lang w:val="en-ZA"/>
        </w:rPr>
        <w:t>, “</w:t>
      </w:r>
      <w:r w:rsidR="001E2C80" w:rsidRPr="00040FB1">
        <w:rPr>
          <w:szCs w:val="20"/>
          <w:lang w:val="en-ZA"/>
        </w:rPr>
        <w:t>Synergistic effect of bismuth oxide and mono-component intumescent flame retardant on the flammability and smoke suppression properties of epoxy resins</w:t>
      </w:r>
      <w:r w:rsidR="001E2C80">
        <w:rPr>
          <w:szCs w:val="20"/>
          <w:lang w:val="en-ZA"/>
        </w:rPr>
        <w:t>,”</w:t>
      </w:r>
      <w:r w:rsidR="001E2C80" w:rsidRPr="00040FB1">
        <w:rPr>
          <w:szCs w:val="20"/>
          <w:lang w:val="en-ZA"/>
        </w:rPr>
        <w:t xml:space="preserve"> </w:t>
      </w:r>
      <w:r w:rsidR="001E2C80" w:rsidRPr="00040FB1">
        <w:rPr>
          <w:i/>
          <w:szCs w:val="20"/>
          <w:lang w:val="en-ZA"/>
        </w:rPr>
        <w:t>Polym Adv Technol</w:t>
      </w:r>
      <w:r w:rsidR="001E2C80" w:rsidRPr="00040FB1">
        <w:rPr>
          <w:szCs w:val="20"/>
          <w:lang w:val="en-ZA"/>
        </w:rPr>
        <w:t xml:space="preserve"> </w:t>
      </w:r>
      <w:r w:rsidR="001E2C80">
        <w:rPr>
          <w:szCs w:val="20"/>
          <w:lang w:val="en-ZA"/>
        </w:rPr>
        <w:t xml:space="preserve">vol. </w:t>
      </w:r>
      <w:r w:rsidR="001E2C80" w:rsidRPr="00040FB1">
        <w:rPr>
          <w:szCs w:val="20"/>
          <w:lang w:val="en-ZA"/>
        </w:rPr>
        <w:t>31</w:t>
      </w:r>
      <w:r w:rsidR="001E2C80">
        <w:rPr>
          <w:szCs w:val="20"/>
          <w:lang w:val="en-ZA"/>
        </w:rPr>
        <w:t xml:space="preserve">, pp. </w:t>
      </w:r>
      <w:r w:rsidR="001E2C80" w:rsidRPr="00040FB1">
        <w:rPr>
          <w:szCs w:val="20"/>
          <w:lang w:val="en-ZA"/>
        </w:rPr>
        <w:t>25–35</w:t>
      </w:r>
      <w:r w:rsidR="001E2C80">
        <w:rPr>
          <w:szCs w:val="20"/>
          <w:lang w:val="en-ZA"/>
        </w:rPr>
        <w:t>,</w:t>
      </w:r>
      <w:r w:rsidR="001E2C80" w:rsidRPr="00040FB1">
        <w:rPr>
          <w:szCs w:val="20"/>
          <w:lang w:val="en-ZA"/>
        </w:rPr>
        <w:t> </w:t>
      </w:r>
      <w:hyperlink r:id="rId14" w:history="1">
        <w:r w:rsidR="001E2C80" w:rsidRPr="00040FB1">
          <w:rPr>
            <w:rStyle w:val="Hyperlink"/>
            <w:rFonts w:ascii="Times New Roman" w:hAnsi="Times New Roman" w:cs="Times New Roman"/>
            <w:szCs w:val="20"/>
            <w:lang w:val="en-ZA"/>
          </w:rPr>
          <w:t>https://doi.org/10.1002/pat.4744</w:t>
        </w:r>
      </w:hyperlink>
      <w:r w:rsidR="001E2C80" w:rsidRPr="00040FB1">
        <w:rPr>
          <w:szCs w:val="20"/>
          <w:u w:val="single"/>
          <w:lang w:val="en-ZA"/>
        </w:rPr>
        <w:t>.</w:t>
      </w:r>
      <w:r w:rsidR="001E2C80" w:rsidRPr="00040FB1">
        <w:rPr>
          <w:szCs w:val="20"/>
          <w:lang w:val="en-ZA"/>
        </w:rPr>
        <w:t xml:space="preserve"> 2020</w:t>
      </w:r>
      <w:r w:rsidR="001E2C80">
        <w:rPr>
          <w:szCs w:val="20"/>
          <w:lang w:val="en-ZA"/>
        </w:rPr>
        <w:t>.</w:t>
      </w:r>
    </w:p>
    <w:p w:rsidR="002A7A49" w:rsidRPr="001820A3" w:rsidRDefault="002A7A49" w:rsidP="001820A3">
      <w:pPr>
        <w:pStyle w:val="EndNoteBibliography"/>
        <w:ind w:left="720" w:hanging="720"/>
      </w:pPr>
    </w:p>
    <w:p w:rsidR="00040FB1" w:rsidRDefault="00910C55" w:rsidP="00225F1A">
      <w:pPr>
        <w:pStyle w:val="EndNoteBibliography"/>
        <w:ind w:left="0"/>
        <w:rPr>
          <w:szCs w:val="20"/>
        </w:rPr>
      </w:pPr>
      <w:r>
        <w:fldChar w:fldCharType="end"/>
      </w:r>
    </w:p>
    <w:sectPr w:rsidR="00040FB1" w:rsidSect="00BE28AB">
      <w:headerReference w:type="even" r:id="rId15"/>
      <w:headerReference w:type="default" r:id="rId16"/>
      <w:footerReference w:type="even" r:id="rId17"/>
      <w:footerReference w:type="default" r:id="rId18"/>
      <w:headerReference w:type="first" r:id="rId19"/>
      <w:footerReference w:type="first" r:id="rId20"/>
      <w:pgSz w:w="11910" w:h="16840"/>
      <w:pgMar w:top="2268" w:right="1418" w:bottom="153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3D9" w:rsidRDefault="001C73D9" w:rsidP="00652929">
      <w:r>
        <w:separator/>
      </w:r>
    </w:p>
  </w:endnote>
  <w:endnote w:type="continuationSeparator" w:id="0">
    <w:p w:rsidR="001C73D9" w:rsidRDefault="001C73D9" w:rsidP="0065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7F3" w:rsidRDefault="00523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7F3" w:rsidRDefault="00523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7F3" w:rsidRDefault="00523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3D9" w:rsidRDefault="001C73D9" w:rsidP="00652929">
      <w:r>
        <w:separator/>
      </w:r>
    </w:p>
  </w:footnote>
  <w:footnote w:type="continuationSeparator" w:id="0">
    <w:p w:rsidR="001C73D9" w:rsidRDefault="001C73D9" w:rsidP="00652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7F3" w:rsidRDefault="00523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7F3" w:rsidRDefault="00523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7F3" w:rsidRDefault="00523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DD16AD3"/>
    <w:multiLevelType w:val="hybridMultilevel"/>
    <w:tmpl w:val="DBA2826C"/>
    <w:lvl w:ilvl="0" w:tplc="017E947C">
      <w:start w:val="1"/>
      <w:numFmt w:val="decimal"/>
      <w:lvlText w:val="%1."/>
      <w:lvlJc w:val="left"/>
      <w:pPr>
        <w:tabs>
          <w:tab w:val="num" w:pos="720"/>
        </w:tabs>
        <w:ind w:left="720" w:hanging="360"/>
      </w:pPr>
    </w:lvl>
    <w:lvl w:ilvl="1" w:tplc="DB980A38" w:tentative="1">
      <w:start w:val="1"/>
      <w:numFmt w:val="decimal"/>
      <w:lvlText w:val="%2."/>
      <w:lvlJc w:val="left"/>
      <w:pPr>
        <w:tabs>
          <w:tab w:val="num" w:pos="1440"/>
        </w:tabs>
        <w:ind w:left="1440" w:hanging="360"/>
      </w:pPr>
    </w:lvl>
    <w:lvl w:ilvl="2" w:tplc="4CA82BEE" w:tentative="1">
      <w:start w:val="1"/>
      <w:numFmt w:val="decimal"/>
      <w:lvlText w:val="%3."/>
      <w:lvlJc w:val="left"/>
      <w:pPr>
        <w:tabs>
          <w:tab w:val="num" w:pos="2160"/>
        </w:tabs>
        <w:ind w:left="2160" w:hanging="360"/>
      </w:pPr>
    </w:lvl>
    <w:lvl w:ilvl="3" w:tplc="9F62EEE2" w:tentative="1">
      <w:start w:val="1"/>
      <w:numFmt w:val="decimal"/>
      <w:lvlText w:val="%4."/>
      <w:lvlJc w:val="left"/>
      <w:pPr>
        <w:tabs>
          <w:tab w:val="num" w:pos="2880"/>
        </w:tabs>
        <w:ind w:left="2880" w:hanging="360"/>
      </w:pPr>
    </w:lvl>
    <w:lvl w:ilvl="4" w:tplc="DB24B45A" w:tentative="1">
      <w:start w:val="1"/>
      <w:numFmt w:val="decimal"/>
      <w:lvlText w:val="%5."/>
      <w:lvlJc w:val="left"/>
      <w:pPr>
        <w:tabs>
          <w:tab w:val="num" w:pos="3600"/>
        </w:tabs>
        <w:ind w:left="3600" w:hanging="360"/>
      </w:pPr>
    </w:lvl>
    <w:lvl w:ilvl="5" w:tplc="5F2A66B4" w:tentative="1">
      <w:start w:val="1"/>
      <w:numFmt w:val="decimal"/>
      <w:lvlText w:val="%6."/>
      <w:lvlJc w:val="left"/>
      <w:pPr>
        <w:tabs>
          <w:tab w:val="num" w:pos="4320"/>
        </w:tabs>
        <w:ind w:left="4320" w:hanging="360"/>
      </w:pPr>
    </w:lvl>
    <w:lvl w:ilvl="6" w:tplc="9DD69CE6" w:tentative="1">
      <w:start w:val="1"/>
      <w:numFmt w:val="decimal"/>
      <w:lvlText w:val="%7."/>
      <w:lvlJc w:val="left"/>
      <w:pPr>
        <w:tabs>
          <w:tab w:val="num" w:pos="5040"/>
        </w:tabs>
        <w:ind w:left="5040" w:hanging="360"/>
      </w:pPr>
    </w:lvl>
    <w:lvl w:ilvl="7" w:tplc="C72C9C40" w:tentative="1">
      <w:start w:val="1"/>
      <w:numFmt w:val="decimal"/>
      <w:lvlText w:val="%8."/>
      <w:lvlJc w:val="left"/>
      <w:pPr>
        <w:tabs>
          <w:tab w:val="num" w:pos="5760"/>
        </w:tabs>
        <w:ind w:left="5760" w:hanging="360"/>
      </w:pPr>
    </w:lvl>
    <w:lvl w:ilvl="8" w:tplc="BF26A59A" w:tentative="1">
      <w:start w:val="1"/>
      <w:numFmt w:val="decimal"/>
      <w:lvlText w:val="%9."/>
      <w:lvlJc w:val="left"/>
      <w:pPr>
        <w:tabs>
          <w:tab w:val="num" w:pos="6480"/>
        </w:tabs>
        <w:ind w:left="6480" w:hanging="36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9E06E8"/>
    <w:multiLevelType w:val="hybridMultilevel"/>
    <w:tmpl w:val="061E05B6"/>
    <w:lvl w:ilvl="0" w:tplc="12D83F4E">
      <w:start w:val="1"/>
      <w:numFmt w:val="lowerLetter"/>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DE4BFB"/>
    <w:multiLevelType w:val="hybridMultilevel"/>
    <w:tmpl w:val="6722F4C2"/>
    <w:lvl w:ilvl="0" w:tplc="587262A6">
      <w:start w:val="1"/>
      <w:numFmt w:val="decimal"/>
      <w:lvlText w:val="%1."/>
      <w:lvlJc w:val="left"/>
      <w:pPr>
        <w:tabs>
          <w:tab w:val="num" w:pos="720"/>
        </w:tabs>
        <w:ind w:left="720" w:hanging="360"/>
      </w:pPr>
    </w:lvl>
    <w:lvl w:ilvl="1" w:tplc="FAD20E1E" w:tentative="1">
      <w:start w:val="1"/>
      <w:numFmt w:val="decimal"/>
      <w:lvlText w:val="%2."/>
      <w:lvlJc w:val="left"/>
      <w:pPr>
        <w:tabs>
          <w:tab w:val="num" w:pos="1440"/>
        </w:tabs>
        <w:ind w:left="1440" w:hanging="360"/>
      </w:pPr>
    </w:lvl>
    <w:lvl w:ilvl="2" w:tplc="13700882" w:tentative="1">
      <w:start w:val="1"/>
      <w:numFmt w:val="decimal"/>
      <w:lvlText w:val="%3."/>
      <w:lvlJc w:val="left"/>
      <w:pPr>
        <w:tabs>
          <w:tab w:val="num" w:pos="2160"/>
        </w:tabs>
        <w:ind w:left="2160" w:hanging="360"/>
      </w:pPr>
    </w:lvl>
    <w:lvl w:ilvl="3" w:tplc="CB700D60" w:tentative="1">
      <w:start w:val="1"/>
      <w:numFmt w:val="decimal"/>
      <w:lvlText w:val="%4."/>
      <w:lvlJc w:val="left"/>
      <w:pPr>
        <w:tabs>
          <w:tab w:val="num" w:pos="2880"/>
        </w:tabs>
        <w:ind w:left="2880" w:hanging="360"/>
      </w:pPr>
    </w:lvl>
    <w:lvl w:ilvl="4" w:tplc="681C7EF4" w:tentative="1">
      <w:start w:val="1"/>
      <w:numFmt w:val="decimal"/>
      <w:lvlText w:val="%5."/>
      <w:lvlJc w:val="left"/>
      <w:pPr>
        <w:tabs>
          <w:tab w:val="num" w:pos="3600"/>
        </w:tabs>
        <w:ind w:left="3600" w:hanging="360"/>
      </w:pPr>
    </w:lvl>
    <w:lvl w:ilvl="5" w:tplc="CDCEDC98" w:tentative="1">
      <w:start w:val="1"/>
      <w:numFmt w:val="decimal"/>
      <w:lvlText w:val="%6."/>
      <w:lvlJc w:val="left"/>
      <w:pPr>
        <w:tabs>
          <w:tab w:val="num" w:pos="4320"/>
        </w:tabs>
        <w:ind w:left="4320" w:hanging="360"/>
      </w:pPr>
    </w:lvl>
    <w:lvl w:ilvl="6" w:tplc="498C1608" w:tentative="1">
      <w:start w:val="1"/>
      <w:numFmt w:val="decimal"/>
      <w:lvlText w:val="%7."/>
      <w:lvlJc w:val="left"/>
      <w:pPr>
        <w:tabs>
          <w:tab w:val="num" w:pos="5040"/>
        </w:tabs>
        <w:ind w:left="5040" w:hanging="360"/>
      </w:pPr>
    </w:lvl>
    <w:lvl w:ilvl="7" w:tplc="9664E89E" w:tentative="1">
      <w:start w:val="1"/>
      <w:numFmt w:val="decimal"/>
      <w:lvlText w:val="%8."/>
      <w:lvlJc w:val="left"/>
      <w:pPr>
        <w:tabs>
          <w:tab w:val="num" w:pos="5760"/>
        </w:tabs>
        <w:ind w:left="5760" w:hanging="360"/>
      </w:pPr>
    </w:lvl>
    <w:lvl w:ilvl="8" w:tplc="A358EE46" w:tentative="1">
      <w:start w:val="1"/>
      <w:numFmt w:val="decimal"/>
      <w:lvlText w:val="%9."/>
      <w:lvlJc w:val="left"/>
      <w:pPr>
        <w:tabs>
          <w:tab w:val="num" w:pos="6480"/>
        </w:tabs>
        <w:ind w:left="6480" w:hanging="36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1EB26A6"/>
    <w:multiLevelType w:val="hybridMultilevel"/>
    <w:tmpl w:val="DB3C1596"/>
    <w:lvl w:ilvl="0" w:tplc="85EE6120">
      <w:start w:val="1"/>
      <w:numFmt w:val="decimal"/>
      <w:lvlText w:val="%1."/>
      <w:lvlJc w:val="left"/>
      <w:pPr>
        <w:ind w:left="502"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7DE4694"/>
    <w:multiLevelType w:val="hybridMultilevel"/>
    <w:tmpl w:val="288CD7F8"/>
    <w:lvl w:ilvl="0" w:tplc="7918F18E">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220E1"/>
    <w:multiLevelType w:val="hybridMultilevel"/>
    <w:tmpl w:val="37448900"/>
    <w:lvl w:ilvl="0" w:tplc="8CA28FB6">
      <w:start w:val="1"/>
      <w:numFmt w:val="decimal"/>
      <w:pStyle w:val="References"/>
      <w:lvlText w:val="[%1]"/>
      <w:lvlJc w:val="left"/>
      <w:pPr>
        <w:ind w:left="389" w:hanging="332"/>
      </w:pPr>
      <w:rPr>
        <w:rFonts w:ascii="Times New Roman" w:eastAsia="Times New Roman" w:hAnsi="Times New Roman" w:cs="Times New Roman" w:hint="default"/>
        <w:b w:val="0"/>
        <w:bCs w:val="0"/>
        <w:i w:val="0"/>
        <w:iCs w:val="0"/>
        <w:spacing w:val="0"/>
        <w:w w:val="99"/>
        <w:sz w:val="20"/>
        <w:szCs w:val="20"/>
        <w:lang w:val="en-US" w:eastAsia="en-US" w:bidi="ar-SA"/>
      </w:rPr>
    </w:lvl>
    <w:lvl w:ilvl="1" w:tplc="D8F4B084">
      <w:numFmt w:val="bullet"/>
      <w:lvlText w:val="•"/>
      <w:lvlJc w:val="left"/>
      <w:pPr>
        <w:ind w:left="1291" w:hanging="332"/>
      </w:pPr>
      <w:rPr>
        <w:rFonts w:hint="default"/>
        <w:lang w:val="en-US" w:eastAsia="en-US" w:bidi="ar-SA"/>
      </w:rPr>
    </w:lvl>
    <w:lvl w:ilvl="2" w:tplc="2C0668C6">
      <w:numFmt w:val="bullet"/>
      <w:lvlText w:val="•"/>
      <w:lvlJc w:val="left"/>
      <w:pPr>
        <w:ind w:left="2203" w:hanging="332"/>
      </w:pPr>
      <w:rPr>
        <w:rFonts w:hint="default"/>
        <w:lang w:val="en-US" w:eastAsia="en-US" w:bidi="ar-SA"/>
      </w:rPr>
    </w:lvl>
    <w:lvl w:ilvl="3" w:tplc="06A655A2">
      <w:numFmt w:val="bullet"/>
      <w:lvlText w:val="•"/>
      <w:lvlJc w:val="left"/>
      <w:pPr>
        <w:ind w:left="3115" w:hanging="332"/>
      </w:pPr>
      <w:rPr>
        <w:rFonts w:hint="default"/>
        <w:lang w:val="en-US" w:eastAsia="en-US" w:bidi="ar-SA"/>
      </w:rPr>
    </w:lvl>
    <w:lvl w:ilvl="4" w:tplc="C1BE12F6">
      <w:numFmt w:val="bullet"/>
      <w:lvlText w:val="•"/>
      <w:lvlJc w:val="left"/>
      <w:pPr>
        <w:ind w:left="4027" w:hanging="332"/>
      </w:pPr>
      <w:rPr>
        <w:rFonts w:hint="default"/>
        <w:lang w:val="en-US" w:eastAsia="en-US" w:bidi="ar-SA"/>
      </w:rPr>
    </w:lvl>
    <w:lvl w:ilvl="5" w:tplc="C19AAFF4">
      <w:numFmt w:val="bullet"/>
      <w:lvlText w:val="•"/>
      <w:lvlJc w:val="left"/>
      <w:pPr>
        <w:ind w:left="4938" w:hanging="332"/>
      </w:pPr>
      <w:rPr>
        <w:rFonts w:hint="default"/>
        <w:lang w:val="en-US" w:eastAsia="en-US" w:bidi="ar-SA"/>
      </w:rPr>
    </w:lvl>
    <w:lvl w:ilvl="6" w:tplc="D5F8273A">
      <w:numFmt w:val="bullet"/>
      <w:lvlText w:val="•"/>
      <w:lvlJc w:val="left"/>
      <w:pPr>
        <w:ind w:left="5850" w:hanging="332"/>
      </w:pPr>
      <w:rPr>
        <w:rFonts w:hint="default"/>
        <w:lang w:val="en-US" w:eastAsia="en-US" w:bidi="ar-SA"/>
      </w:rPr>
    </w:lvl>
    <w:lvl w:ilvl="7" w:tplc="302C72F8">
      <w:numFmt w:val="bullet"/>
      <w:lvlText w:val="•"/>
      <w:lvlJc w:val="left"/>
      <w:pPr>
        <w:ind w:left="6762" w:hanging="332"/>
      </w:pPr>
      <w:rPr>
        <w:rFonts w:hint="default"/>
        <w:lang w:val="en-US" w:eastAsia="en-US" w:bidi="ar-SA"/>
      </w:rPr>
    </w:lvl>
    <w:lvl w:ilvl="8" w:tplc="31DACC80">
      <w:numFmt w:val="bullet"/>
      <w:lvlText w:val="•"/>
      <w:lvlJc w:val="left"/>
      <w:pPr>
        <w:ind w:left="7674" w:hanging="332"/>
      </w:pPr>
      <w:rPr>
        <w:rFonts w:hint="default"/>
        <w:lang w:val="en-US" w:eastAsia="en-US" w:bidi="ar-SA"/>
      </w:rPr>
    </w:lvl>
  </w:abstractNum>
  <w:abstractNum w:abstractNumId="25" w15:restartNumberingAfterBreak="0">
    <w:nsid w:val="56A11FAA"/>
    <w:multiLevelType w:val="multilevel"/>
    <w:tmpl w:val="1C3A5F8A"/>
    <w:lvl w:ilvl="0">
      <w:start w:val="1"/>
      <w:numFmt w:val="decimal"/>
      <w:pStyle w:val="Heading1"/>
      <w:lvlText w:val="%1"/>
      <w:lvlJc w:val="left"/>
      <w:pPr>
        <w:ind w:left="356" w:hanging="299"/>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pStyle w:val="Heading2"/>
      <w:lvlText w:val="%1.%2"/>
      <w:lvlJc w:val="left"/>
      <w:pPr>
        <w:ind w:left="449" w:hanging="449"/>
      </w:pPr>
      <w:rPr>
        <w:rFonts w:ascii="Times New Roman" w:eastAsia="Times New Roman" w:hAnsi="Times New Roman" w:cs="Times New Roman" w:hint="default"/>
        <w:b w:val="0"/>
        <w:bCs w:val="0"/>
        <w:i/>
        <w:iCs/>
        <w:spacing w:val="0"/>
        <w:w w:val="99"/>
        <w:sz w:val="20"/>
        <w:szCs w:val="20"/>
        <w:lang w:val="en-US" w:eastAsia="en-US" w:bidi="ar-SA"/>
      </w:rPr>
    </w:lvl>
    <w:lvl w:ilvl="2">
      <w:start w:val="1"/>
      <w:numFmt w:val="decimal"/>
      <w:pStyle w:val="Heading3"/>
      <w:lvlText w:val="%1.%2.%3"/>
      <w:lvlJc w:val="left"/>
      <w:pPr>
        <w:ind w:left="57" w:hanging="598"/>
      </w:pPr>
      <w:rPr>
        <w:rFonts w:ascii="Times New Roman" w:eastAsia="Times New Roman" w:hAnsi="Times New Roman" w:cs="Times New Roman" w:hint="default"/>
        <w:b w:val="0"/>
        <w:bCs w:val="0"/>
        <w:i/>
        <w:iCs/>
        <w:spacing w:val="0"/>
        <w:w w:val="99"/>
        <w:sz w:val="20"/>
        <w:szCs w:val="20"/>
        <w:lang w:val="en-US" w:eastAsia="en-US" w:bidi="ar-SA"/>
      </w:rPr>
    </w:lvl>
    <w:lvl w:ilvl="3">
      <w:numFmt w:val="bullet"/>
      <w:lvlText w:val="•"/>
      <w:lvlJc w:val="left"/>
      <w:pPr>
        <w:ind w:left="1624" w:hanging="598"/>
      </w:pPr>
      <w:rPr>
        <w:rFonts w:hint="default"/>
        <w:lang w:val="en-US" w:eastAsia="en-US" w:bidi="ar-SA"/>
      </w:rPr>
    </w:lvl>
    <w:lvl w:ilvl="4">
      <w:numFmt w:val="bullet"/>
      <w:lvlText w:val="•"/>
      <w:lvlJc w:val="left"/>
      <w:pPr>
        <w:ind w:left="2749" w:hanging="598"/>
      </w:pPr>
      <w:rPr>
        <w:rFonts w:hint="default"/>
        <w:lang w:val="en-US" w:eastAsia="en-US" w:bidi="ar-SA"/>
      </w:rPr>
    </w:lvl>
    <w:lvl w:ilvl="5">
      <w:numFmt w:val="bullet"/>
      <w:lvlText w:val="•"/>
      <w:lvlJc w:val="left"/>
      <w:pPr>
        <w:ind w:left="3874" w:hanging="598"/>
      </w:pPr>
      <w:rPr>
        <w:rFonts w:hint="default"/>
        <w:lang w:val="en-US" w:eastAsia="en-US" w:bidi="ar-SA"/>
      </w:rPr>
    </w:lvl>
    <w:lvl w:ilvl="6">
      <w:numFmt w:val="bullet"/>
      <w:lvlText w:val="•"/>
      <w:lvlJc w:val="left"/>
      <w:pPr>
        <w:ind w:left="4998" w:hanging="598"/>
      </w:pPr>
      <w:rPr>
        <w:rFonts w:hint="default"/>
        <w:lang w:val="en-US" w:eastAsia="en-US" w:bidi="ar-SA"/>
      </w:rPr>
    </w:lvl>
    <w:lvl w:ilvl="7">
      <w:numFmt w:val="bullet"/>
      <w:lvlText w:val="•"/>
      <w:lvlJc w:val="left"/>
      <w:pPr>
        <w:ind w:left="6123" w:hanging="598"/>
      </w:pPr>
      <w:rPr>
        <w:rFonts w:hint="default"/>
        <w:lang w:val="en-US" w:eastAsia="en-US" w:bidi="ar-SA"/>
      </w:rPr>
    </w:lvl>
    <w:lvl w:ilvl="8">
      <w:numFmt w:val="bullet"/>
      <w:lvlText w:val="•"/>
      <w:lvlJc w:val="left"/>
      <w:pPr>
        <w:ind w:left="7248" w:hanging="598"/>
      </w:pPr>
      <w:rPr>
        <w:rFonts w:hint="default"/>
        <w:lang w:val="en-US" w:eastAsia="en-US" w:bidi="ar-SA"/>
      </w:rPr>
    </w:lvl>
  </w:abstractNum>
  <w:abstractNum w:abstractNumId="26"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96BF8"/>
    <w:multiLevelType w:val="hybridMultilevel"/>
    <w:tmpl w:val="69681AD4"/>
    <w:lvl w:ilvl="0" w:tplc="3D80A2F0">
      <w:start w:val="1"/>
      <w:numFmt w:val="bullet"/>
      <w:pStyle w:val="Bulletedlist"/>
      <w:lvlText w:val=""/>
      <w:lvlJc w:val="left"/>
      <w:pPr>
        <w:ind w:left="624" w:hanging="26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5A1D08"/>
    <w:multiLevelType w:val="hybridMultilevel"/>
    <w:tmpl w:val="EC8EBF74"/>
    <w:lvl w:ilvl="0" w:tplc="2EFA9AE6">
      <w:start w:val="1"/>
      <w:numFmt w:val="decimal"/>
      <w:lvlText w:val="[%1]"/>
      <w:lvlJc w:val="left"/>
      <w:pPr>
        <w:ind w:left="77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5"/>
  </w:num>
  <w:num w:numId="2">
    <w:abstractNumId w:val="26"/>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7"/>
  </w:num>
  <w:num w:numId="15">
    <w:abstractNumId w:val="14"/>
  </w:num>
  <w:num w:numId="16">
    <w:abstractNumId w:val="17"/>
  </w:num>
  <w:num w:numId="17">
    <w:abstractNumId w:val="11"/>
  </w:num>
  <w:num w:numId="18">
    <w:abstractNumId w:val="0"/>
  </w:num>
  <w:num w:numId="19">
    <w:abstractNumId w:val="12"/>
  </w:num>
  <w:num w:numId="20">
    <w:abstractNumId w:val="27"/>
  </w:num>
  <w:num w:numId="21">
    <w:abstractNumId w:val="27"/>
  </w:num>
  <w:num w:numId="22">
    <w:abstractNumId w:val="27"/>
  </w:num>
  <w:num w:numId="23">
    <w:abstractNumId w:val="27"/>
  </w:num>
  <w:num w:numId="24">
    <w:abstractNumId w:val="19"/>
  </w:num>
  <w:num w:numId="25">
    <w:abstractNumId w:val="21"/>
  </w:num>
  <w:num w:numId="26">
    <w:abstractNumId w:val="28"/>
  </w:num>
  <w:num w:numId="27">
    <w:abstractNumId w:val="29"/>
  </w:num>
  <w:num w:numId="28">
    <w:abstractNumId w:val="27"/>
  </w:num>
  <w:num w:numId="29">
    <w:abstractNumId w:val="13"/>
  </w:num>
  <w:num w:numId="30">
    <w:abstractNumId w:val="30"/>
  </w:num>
  <w:num w:numId="31">
    <w:abstractNumId w:val="24"/>
  </w:num>
  <w:num w:numId="32">
    <w:abstractNumId w:val="25"/>
  </w:num>
  <w:num w:numId="33">
    <w:abstractNumId w:val="27"/>
    <w:lvlOverride w:ilvl="0">
      <w:startOverride w:val="1"/>
    </w:lvlOverride>
  </w:num>
  <w:num w:numId="34">
    <w:abstractNumId w:val="27"/>
  </w:num>
  <w:num w:numId="35">
    <w:abstractNumId w:val="22"/>
  </w:num>
  <w:num w:numId="36">
    <w:abstractNumId w:val="18"/>
  </w:num>
  <w:num w:numId="37">
    <w:abstractNumId w:val="23"/>
  </w:num>
  <w:num w:numId="38">
    <w:abstractNumId w:val="31"/>
  </w:num>
  <w:num w:numId="39">
    <w:abstractNumId w:val="20"/>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xdr5sv9xpvwpeav0pvpx23wxxr2a2eztfp&quot;&gt;References-Converted&lt;record-ids&gt;&lt;item&gt;491&lt;/item&gt;&lt;item&gt;1211&lt;/item&gt;&lt;item&gt;1309&lt;/item&gt;&lt;item&gt;2493&lt;/item&gt;&lt;item&gt;2494&lt;/item&gt;&lt;/record-ids&gt;&lt;/item&gt;&lt;/Libraries&gt;"/>
    <w:docVar w:name="EN.UseJSCitationFormat" w:val="False"/>
  </w:docVars>
  <w:rsids>
    <w:rsidRoot w:val="0077028F"/>
    <w:rsid w:val="00001899"/>
    <w:rsid w:val="0000265B"/>
    <w:rsid w:val="000049AD"/>
    <w:rsid w:val="0000681B"/>
    <w:rsid w:val="000133C0"/>
    <w:rsid w:val="00014C4E"/>
    <w:rsid w:val="00017107"/>
    <w:rsid w:val="000202E2"/>
    <w:rsid w:val="00022441"/>
    <w:rsid w:val="0002261E"/>
    <w:rsid w:val="00024839"/>
    <w:rsid w:val="00026871"/>
    <w:rsid w:val="0003523F"/>
    <w:rsid w:val="00037A98"/>
    <w:rsid w:val="00040FB1"/>
    <w:rsid w:val="000427FB"/>
    <w:rsid w:val="0004455E"/>
    <w:rsid w:val="00047C3E"/>
    <w:rsid w:val="00047CB5"/>
    <w:rsid w:val="00051FAA"/>
    <w:rsid w:val="00052843"/>
    <w:rsid w:val="000572A9"/>
    <w:rsid w:val="00061325"/>
    <w:rsid w:val="000733AC"/>
    <w:rsid w:val="00074B81"/>
    <w:rsid w:val="00074D22"/>
    <w:rsid w:val="00075081"/>
    <w:rsid w:val="0007528A"/>
    <w:rsid w:val="000811AB"/>
    <w:rsid w:val="00083C5F"/>
    <w:rsid w:val="0008637C"/>
    <w:rsid w:val="0009172C"/>
    <w:rsid w:val="000930EC"/>
    <w:rsid w:val="00095E61"/>
    <w:rsid w:val="000966C1"/>
    <w:rsid w:val="000970AC"/>
    <w:rsid w:val="000A1167"/>
    <w:rsid w:val="000A4428"/>
    <w:rsid w:val="000A6D40"/>
    <w:rsid w:val="000A7BC3"/>
    <w:rsid w:val="000B1661"/>
    <w:rsid w:val="000B1F0B"/>
    <w:rsid w:val="000B2E88"/>
    <w:rsid w:val="000B41D3"/>
    <w:rsid w:val="000B4603"/>
    <w:rsid w:val="000C09BE"/>
    <w:rsid w:val="000C1380"/>
    <w:rsid w:val="000C554F"/>
    <w:rsid w:val="000D0DC5"/>
    <w:rsid w:val="000D15FF"/>
    <w:rsid w:val="000D28DF"/>
    <w:rsid w:val="000D488B"/>
    <w:rsid w:val="000D68DF"/>
    <w:rsid w:val="000D74E9"/>
    <w:rsid w:val="000E036F"/>
    <w:rsid w:val="000E138D"/>
    <w:rsid w:val="000E187A"/>
    <w:rsid w:val="000E2D61"/>
    <w:rsid w:val="000E450E"/>
    <w:rsid w:val="000E6259"/>
    <w:rsid w:val="000F4677"/>
    <w:rsid w:val="000F5BE0"/>
    <w:rsid w:val="00100587"/>
    <w:rsid w:val="00100F87"/>
    <w:rsid w:val="0010284E"/>
    <w:rsid w:val="00103122"/>
    <w:rsid w:val="0010336A"/>
    <w:rsid w:val="001050F1"/>
    <w:rsid w:val="00105AEA"/>
    <w:rsid w:val="00106DAF"/>
    <w:rsid w:val="00114ABE"/>
    <w:rsid w:val="00116023"/>
    <w:rsid w:val="00116555"/>
    <w:rsid w:val="001330A5"/>
    <w:rsid w:val="00134A51"/>
    <w:rsid w:val="00140727"/>
    <w:rsid w:val="00151554"/>
    <w:rsid w:val="001549E9"/>
    <w:rsid w:val="00160628"/>
    <w:rsid w:val="00161344"/>
    <w:rsid w:val="00162195"/>
    <w:rsid w:val="0016322A"/>
    <w:rsid w:val="00165A21"/>
    <w:rsid w:val="00166F9D"/>
    <w:rsid w:val="001705CE"/>
    <w:rsid w:val="00174153"/>
    <w:rsid w:val="0017714B"/>
    <w:rsid w:val="001804DF"/>
    <w:rsid w:val="00181BDC"/>
    <w:rsid w:val="00181DB0"/>
    <w:rsid w:val="001820A3"/>
    <w:rsid w:val="001829E3"/>
    <w:rsid w:val="001903DD"/>
    <w:rsid w:val="001924C0"/>
    <w:rsid w:val="00196B08"/>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3A90"/>
    <w:rsid w:val="001C5736"/>
    <w:rsid w:val="001C73D9"/>
    <w:rsid w:val="001D2EC9"/>
    <w:rsid w:val="001D647F"/>
    <w:rsid w:val="001D6857"/>
    <w:rsid w:val="001E0572"/>
    <w:rsid w:val="001E0A67"/>
    <w:rsid w:val="001E1028"/>
    <w:rsid w:val="001E14E2"/>
    <w:rsid w:val="001E2C80"/>
    <w:rsid w:val="001E6302"/>
    <w:rsid w:val="001E7DCB"/>
    <w:rsid w:val="001F0599"/>
    <w:rsid w:val="001F3411"/>
    <w:rsid w:val="001F3B41"/>
    <w:rsid w:val="001F4287"/>
    <w:rsid w:val="001F4DBA"/>
    <w:rsid w:val="002003FB"/>
    <w:rsid w:val="0020415E"/>
    <w:rsid w:val="00204FF4"/>
    <w:rsid w:val="0021056E"/>
    <w:rsid w:val="0021075D"/>
    <w:rsid w:val="0021165A"/>
    <w:rsid w:val="00211BC9"/>
    <w:rsid w:val="002146F0"/>
    <w:rsid w:val="0021620C"/>
    <w:rsid w:val="00216E78"/>
    <w:rsid w:val="00217275"/>
    <w:rsid w:val="002211DD"/>
    <w:rsid w:val="002228DC"/>
    <w:rsid w:val="00225F1A"/>
    <w:rsid w:val="002343E0"/>
    <w:rsid w:val="00236F4B"/>
    <w:rsid w:val="00242B0D"/>
    <w:rsid w:val="002467C6"/>
    <w:rsid w:val="0024692A"/>
    <w:rsid w:val="00252BBA"/>
    <w:rsid w:val="00253123"/>
    <w:rsid w:val="00264001"/>
    <w:rsid w:val="00266354"/>
    <w:rsid w:val="00267575"/>
    <w:rsid w:val="00267A18"/>
    <w:rsid w:val="00267B72"/>
    <w:rsid w:val="00273462"/>
    <w:rsid w:val="0027395B"/>
    <w:rsid w:val="00275854"/>
    <w:rsid w:val="00283B41"/>
    <w:rsid w:val="00285F28"/>
    <w:rsid w:val="00286398"/>
    <w:rsid w:val="00286586"/>
    <w:rsid w:val="002A3C42"/>
    <w:rsid w:val="002A5D75"/>
    <w:rsid w:val="002A7A49"/>
    <w:rsid w:val="002B1577"/>
    <w:rsid w:val="002B1958"/>
    <w:rsid w:val="002B1B1A"/>
    <w:rsid w:val="002B2DCA"/>
    <w:rsid w:val="002B7228"/>
    <w:rsid w:val="002C53EE"/>
    <w:rsid w:val="002D24F7"/>
    <w:rsid w:val="002D2799"/>
    <w:rsid w:val="002D2CD7"/>
    <w:rsid w:val="002D4DDC"/>
    <w:rsid w:val="002D4F75"/>
    <w:rsid w:val="002D6493"/>
    <w:rsid w:val="002D6A8D"/>
    <w:rsid w:val="002D7AB6"/>
    <w:rsid w:val="002E06D0"/>
    <w:rsid w:val="002E3C27"/>
    <w:rsid w:val="002E403A"/>
    <w:rsid w:val="002E7F3A"/>
    <w:rsid w:val="002F4EDB"/>
    <w:rsid w:val="002F6054"/>
    <w:rsid w:val="00301DFD"/>
    <w:rsid w:val="003025B4"/>
    <w:rsid w:val="00310E13"/>
    <w:rsid w:val="003111AA"/>
    <w:rsid w:val="00312EEB"/>
    <w:rsid w:val="00315713"/>
    <w:rsid w:val="0031686C"/>
    <w:rsid w:val="00316FE0"/>
    <w:rsid w:val="003204D2"/>
    <w:rsid w:val="00320BC7"/>
    <w:rsid w:val="00323CD7"/>
    <w:rsid w:val="0032605E"/>
    <w:rsid w:val="003275D1"/>
    <w:rsid w:val="00330B2A"/>
    <w:rsid w:val="00331E17"/>
    <w:rsid w:val="00333063"/>
    <w:rsid w:val="003337E3"/>
    <w:rsid w:val="00335963"/>
    <w:rsid w:val="003408E3"/>
    <w:rsid w:val="00343480"/>
    <w:rsid w:val="00345813"/>
    <w:rsid w:val="00345E89"/>
    <w:rsid w:val="003522A1"/>
    <w:rsid w:val="0035254B"/>
    <w:rsid w:val="00353555"/>
    <w:rsid w:val="003565D4"/>
    <w:rsid w:val="003607FB"/>
    <w:rsid w:val="00360FD5"/>
    <w:rsid w:val="0036340D"/>
    <w:rsid w:val="003634A5"/>
    <w:rsid w:val="00363ED6"/>
    <w:rsid w:val="003654D7"/>
    <w:rsid w:val="00366868"/>
    <w:rsid w:val="00367506"/>
    <w:rsid w:val="00370085"/>
    <w:rsid w:val="003744A7"/>
    <w:rsid w:val="00376235"/>
    <w:rsid w:val="0037676D"/>
    <w:rsid w:val="00381FB6"/>
    <w:rsid w:val="003836D3"/>
    <w:rsid w:val="00383A52"/>
    <w:rsid w:val="0038525C"/>
    <w:rsid w:val="00391652"/>
    <w:rsid w:val="0039507F"/>
    <w:rsid w:val="003A1260"/>
    <w:rsid w:val="003A295F"/>
    <w:rsid w:val="003A41DD"/>
    <w:rsid w:val="003A7033"/>
    <w:rsid w:val="003B47FE"/>
    <w:rsid w:val="003B505B"/>
    <w:rsid w:val="003B5673"/>
    <w:rsid w:val="003B6287"/>
    <w:rsid w:val="003B62C9"/>
    <w:rsid w:val="003C4901"/>
    <w:rsid w:val="003C7176"/>
    <w:rsid w:val="003D0929"/>
    <w:rsid w:val="003D129C"/>
    <w:rsid w:val="003D4729"/>
    <w:rsid w:val="003D7DD6"/>
    <w:rsid w:val="003E5AAF"/>
    <w:rsid w:val="003E600D"/>
    <w:rsid w:val="003E64DF"/>
    <w:rsid w:val="003E6A5D"/>
    <w:rsid w:val="003E78E7"/>
    <w:rsid w:val="003F193A"/>
    <w:rsid w:val="003F4207"/>
    <w:rsid w:val="003F5C46"/>
    <w:rsid w:val="003F6539"/>
    <w:rsid w:val="003F7CBB"/>
    <w:rsid w:val="003F7D34"/>
    <w:rsid w:val="00412C8E"/>
    <w:rsid w:val="0041518D"/>
    <w:rsid w:val="0042221D"/>
    <w:rsid w:val="00424DD3"/>
    <w:rsid w:val="00424F3F"/>
    <w:rsid w:val="004269C5"/>
    <w:rsid w:val="00435939"/>
    <w:rsid w:val="00435E5C"/>
    <w:rsid w:val="00436E7C"/>
    <w:rsid w:val="00437CC7"/>
    <w:rsid w:val="00442B9C"/>
    <w:rsid w:val="00445EFA"/>
    <w:rsid w:val="00446869"/>
    <w:rsid w:val="0044738A"/>
    <w:rsid w:val="004473D3"/>
    <w:rsid w:val="00452231"/>
    <w:rsid w:val="004540E5"/>
    <w:rsid w:val="00460C13"/>
    <w:rsid w:val="00463228"/>
    <w:rsid w:val="00463782"/>
    <w:rsid w:val="004659DF"/>
    <w:rsid w:val="004667E0"/>
    <w:rsid w:val="0046760E"/>
    <w:rsid w:val="00470E10"/>
    <w:rsid w:val="00472C96"/>
    <w:rsid w:val="0047426B"/>
    <w:rsid w:val="00477A97"/>
    <w:rsid w:val="00481343"/>
    <w:rsid w:val="0048549E"/>
    <w:rsid w:val="004875B8"/>
    <w:rsid w:val="004930C6"/>
    <w:rsid w:val="00493347"/>
    <w:rsid w:val="00496092"/>
    <w:rsid w:val="00496F8F"/>
    <w:rsid w:val="004A08DB"/>
    <w:rsid w:val="004A25D0"/>
    <w:rsid w:val="004A37E8"/>
    <w:rsid w:val="004A7549"/>
    <w:rsid w:val="004B09D4"/>
    <w:rsid w:val="004B309D"/>
    <w:rsid w:val="004B330A"/>
    <w:rsid w:val="004B43A2"/>
    <w:rsid w:val="004B6D5A"/>
    <w:rsid w:val="004B7C8E"/>
    <w:rsid w:val="004C2E60"/>
    <w:rsid w:val="004C3D3C"/>
    <w:rsid w:val="004C53D3"/>
    <w:rsid w:val="004D0EDC"/>
    <w:rsid w:val="004D1220"/>
    <w:rsid w:val="004D14B3"/>
    <w:rsid w:val="004D1529"/>
    <w:rsid w:val="004D2253"/>
    <w:rsid w:val="004D5514"/>
    <w:rsid w:val="004D56C3"/>
    <w:rsid w:val="004E0338"/>
    <w:rsid w:val="004E49A8"/>
    <w:rsid w:val="004E4FF3"/>
    <w:rsid w:val="004E56A8"/>
    <w:rsid w:val="004E795A"/>
    <w:rsid w:val="004F3B55"/>
    <w:rsid w:val="004F428E"/>
    <w:rsid w:val="004F4E46"/>
    <w:rsid w:val="004F6B7D"/>
    <w:rsid w:val="005015F6"/>
    <w:rsid w:val="005030C4"/>
    <w:rsid w:val="005031C5"/>
    <w:rsid w:val="00504FDC"/>
    <w:rsid w:val="005120CC"/>
    <w:rsid w:val="00512B7B"/>
    <w:rsid w:val="00514EA1"/>
    <w:rsid w:val="00516234"/>
    <w:rsid w:val="0051798B"/>
    <w:rsid w:val="0052065F"/>
    <w:rsid w:val="00521F5A"/>
    <w:rsid w:val="005237F3"/>
    <w:rsid w:val="00525E06"/>
    <w:rsid w:val="00526454"/>
    <w:rsid w:val="00531823"/>
    <w:rsid w:val="00533273"/>
    <w:rsid w:val="00534ECC"/>
    <w:rsid w:val="0053720D"/>
    <w:rsid w:val="00540EF5"/>
    <w:rsid w:val="00541BF0"/>
    <w:rsid w:val="00541BF3"/>
    <w:rsid w:val="00541CD3"/>
    <w:rsid w:val="005476FA"/>
    <w:rsid w:val="00551C3F"/>
    <w:rsid w:val="005525F3"/>
    <w:rsid w:val="00553633"/>
    <w:rsid w:val="00553E10"/>
    <w:rsid w:val="0055595E"/>
    <w:rsid w:val="00557988"/>
    <w:rsid w:val="005602FC"/>
    <w:rsid w:val="00560E30"/>
    <w:rsid w:val="00562C49"/>
    <w:rsid w:val="00562DEF"/>
    <w:rsid w:val="0056321A"/>
    <w:rsid w:val="0056391A"/>
    <w:rsid w:val="00563A35"/>
    <w:rsid w:val="00564A7C"/>
    <w:rsid w:val="00566596"/>
    <w:rsid w:val="00567728"/>
    <w:rsid w:val="005741E9"/>
    <w:rsid w:val="005748CF"/>
    <w:rsid w:val="00576708"/>
    <w:rsid w:val="00581680"/>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CCA"/>
    <w:rsid w:val="005C1FCF"/>
    <w:rsid w:val="005C3F41"/>
    <w:rsid w:val="005D1885"/>
    <w:rsid w:val="005D4A38"/>
    <w:rsid w:val="005E1F20"/>
    <w:rsid w:val="005E2EEA"/>
    <w:rsid w:val="005E3708"/>
    <w:rsid w:val="005E3CCD"/>
    <w:rsid w:val="005E3D6B"/>
    <w:rsid w:val="005E5B55"/>
    <w:rsid w:val="005E5E4A"/>
    <w:rsid w:val="005E693D"/>
    <w:rsid w:val="005E75BF"/>
    <w:rsid w:val="005F57BA"/>
    <w:rsid w:val="005F61E6"/>
    <w:rsid w:val="005F6C45"/>
    <w:rsid w:val="005F7D83"/>
    <w:rsid w:val="006021E3"/>
    <w:rsid w:val="00605A69"/>
    <w:rsid w:val="00606C54"/>
    <w:rsid w:val="00614375"/>
    <w:rsid w:val="00614506"/>
    <w:rsid w:val="00615B0A"/>
    <w:rsid w:val="006168CF"/>
    <w:rsid w:val="0062011B"/>
    <w:rsid w:val="00622722"/>
    <w:rsid w:val="00626DE0"/>
    <w:rsid w:val="00630901"/>
    <w:rsid w:val="00631F8E"/>
    <w:rsid w:val="00636EE9"/>
    <w:rsid w:val="00640950"/>
    <w:rsid w:val="00641AE7"/>
    <w:rsid w:val="00642629"/>
    <w:rsid w:val="0064782B"/>
    <w:rsid w:val="00652929"/>
    <w:rsid w:val="0065293D"/>
    <w:rsid w:val="00653EFC"/>
    <w:rsid w:val="00654021"/>
    <w:rsid w:val="00656A55"/>
    <w:rsid w:val="00661045"/>
    <w:rsid w:val="00661059"/>
    <w:rsid w:val="00666DA8"/>
    <w:rsid w:val="00667F1C"/>
    <w:rsid w:val="00671057"/>
    <w:rsid w:val="00675AAF"/>
    <w:rsid w:val="0068031A"/>
    <w:rsid w:val="00681B2F"/>
    <w:rsid w:val="00681B87"/>
    <w:rsid w:val="00682D9E"/>
    <w:rsid w:val="0068335F"/>
    <w:rsid w:val="00687217"/>
    <w:rsid w:val="00693302"/>
    <w:rsid w:val="0069570D"/>
    <w:rsid w:val="0069640B"/>
    <w:rsid w:val="006A1B83"/>
    <w:rsid w:val="006A21CD"/>
    <w:rsid w:val="006A5918"/>
    <w:rsid w:val="006B12C7"/>
    <w:rsid w:val="006B182B"/>
    <w:rsid w:val="006B21B2"/>
    <w:rsid w:val="006B2BFC"/>
    <w:rsid w:val="006B4A4A"/>
    <w:rsid w:val="006C19B2"/>
    <w:rsid w:val="006C4409"/>
    <w:rsid w:val="006C5BB8"/>
    <w:rsid w:val="006C6936"/>
    <w:rsid w:val="006C7B01"/>
    <w:rsid w:val="006D0FE8"/>
    <w:rsid w:val="006D4B2B"/>
    <w:rsid w:val="006D4F3C"/>
    <w:rsid w:val="006D5C66"/>
    <w:rsid w:val="006D5C71"/>
    <w:rsid w:val="006D7002"/>
    <w:rsid w:val="006E1B3C"/>
    <w:rsid w:val="006E23FB"/>
    <w:rsid w:val="006E325A"/>
    <w:rsid w:val="006E33EC"/>
    <w:rsid w:val="006E3802"/>
    <w:rsid w:val="006E582F"/>
    <w:rsid w:val="006E5866"/>
    <w:rsid w:val="006E66A5"/>
    <w:rsid w:val="006E6C02"/>
    <w:rsid w:val="006F231A"/>
    <w:rsid w:val="006F6B55"/>
    <w:rsid w:val="006F788D"/>
    <w:rsid w:val="006F78E1"/>
    <w:rsid w:val="00701072"/>
    <w:rsid w:val="00702054"/>
    <w:rsid w:val="007035A4"/>
    <w:rsid w:val="00711100"/>
    <w:rsid w:val="00711799"/>
    <w:rsid w:val="00712724"/>
    <w:rsid w:val="00712B78"/>
    <w:rsid w:val="0071393B"/>
    <w:rsid w:val="00713EE2"/>
    <w:rsid w:val="007177FC"/>
    <w:rsid w:val="00720C5E"/>
    <w:rsid w:val="00721701"/>
    <w:rsid w:val="00731835"/>
    <w:rsid w:val="007331B8"/>
    <w:rsid w:val="007341F8"/>
    <w:rsid w:val="00734372"/>
    <w:rsid w:val="00734EB8"/>
    <w:rsid w:val="00735BC8"/>
    <w:rsid w:val="00735F8B"/>
    <w:rsid w:val="0074090B"/>
    <w:rsid w:val="00742D1F"/>
    <w:rsid w:val="00743EBA"/>
    <w:rsid w:val="00744C8E"/>
    <w:rsid w:val="0074707E"/>
    <w:rsid w:val="007516DC"/>
    <w:rsid w:val="00751754"/>
    <w:rsid w:val="00752E58"/>
    <w:rsid w:val="00754302"/>
    <w:rsid w:val="00754B80"/>
    <w:rsid w:val="00761918"/>
    <w:rsid w:val="00762F03"/>
    <w:rsid w:val="0076413B"/>
    <w:rsid w:val="007648AE"/>
    <w:rsid w:val="00764BF8"/>
    <w:rsid w:val="0076514D"/>
    <w:rsid w:val="0076624F"/>
    <w:rsid w:val="0077028F"/>
    <w:rsid w:val="00770EC0"/>
    <w:rsid w:val="00773D59"/>
    <w:rsid w:val="007750CF"/>
    <w:rsid w:val="00781003"/>
    <w:rsid w:val="007836D9"/>
    <w:rsid w:val="00784C83"/>
    <w:rsid w:val="00786CC7"/>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54EB"/>
    <w:rsid w:val="007D730F"/>
    <w:rsid w:val="007D7CD8"/>
    <w:rsid w:val="007E3AA7"/>
    <w:rsid w:val="007F737D"/>
    <w:rsid w:val="007F748C"/>
    <w:rsid w:val="0080308E"/>
    <w:rsid w:val="00803A67"/>
    <w:rsid w:val="00805303"/>
    <w:rsid w:val="00806705"/>
    <w:rsid w:val="00806738"/>
    <w:rsid w:val="00812484"/>
    <w:rsid w:val="00820F7A"/>
    <w:rsid w:val="008216D5"/>
    <w:rsid w:val="008249CE"/>
    <w:rsid w:val="00824FF4"/>
    <w:rsid w:val="00825907"/>
    <w:rsid w:val="00830D7D"/>
    <w:rsid w:val="00831A50"/>
    <w:rsid w:val="00831B3C"/>
    <w:rsid w:val="00831C89"/>
    <w:rsid w:val="00832114"/>
    <w:rsid w:val="00834C46"/>
    <w:rsid w:val="0084093E"/>
    <w:rsid w:val="00841CE1"/>
    <w:rsid w:val="0084311D"/>
    <w:rsid w:val="0084408F"/>
    <w:rsid w:val="008473D8"/>
    <w:rsid w:val="008528DC"/>
    <w:rsid w:val="00852B8C"/>
    <w:rsid w:val="008544D2"/>
    <w:rsid w:val="00854981"/>
    <w:rsid w:val="00862D17"/>
    <w:rsid w:val="00864B2E"/>
    <w:rsid w:val="00865963"/>
    <w:rsid w:val="00871C1D"/>
    <w:rsid w:val="008722E3"/>
    <w:rsid w:val="0087450E"/>
    <w:rsid w:val="00875A82"/>
    <w:rsid w:val="00876CA3"/>
    <w:rsid w:val="008772FE"/>
    <w:rsid w:val="008775F1"/>
    <w:rsid w:val="00881932"/>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8D3"/>
    <w:rsid w:val="008C5AFB"/>
    <w:rsid w:val="008D07FB"/>
    <w:rsid w:val="008D0C02"/>
    <w:rsid w:val="008D1170"/>
    <w:rsid w:val="008D296F"/>
    <w:rsid w:val="008D357D"/>
    <w:rsid w:val="008D435A"/>
    <w:rsid w:val="008D6035"/>
    <w:rsid w:val="008E387B"/>
    <w:rsid w:val="008E4932"/>
    <w:rsid w:val="008E5811"/>
    <w:rsid w:val="008E6087"/>
    <w:rsid w:val="008E758D"/>
    <w:rsid w:val="008F10A7"/>
    <w:rsid w:val="008F2BAA"/>
    <w:rsid w:val="008F755D"/>
    <w:rsid w:val="008F7A39"/>
    <w:rsid w:val="009021E8"/>
    <w:rsid w:val="00904677"/>
    <w:rsid w:val="00904F93"/>
    <w:rsid w:val="00905EE2"/>
    <w:rsid w:val="00910C55"/>
    <w:rsid w:val="00911440"/>
    <w:rsid w:val="00911712"/>
    <w:rsid w:val="00911B27"/>
    <w:rsid w:val="009170BE"/>
    <w:rsid w:val="00920B55"/>
    <w:rsid w:val="0092247A"/>
    <w:rsid w:val="00924080"/>
    <w:rsid w:val="009262C9"/>
    <w:rsid w:val="00930EB9"/>
    <w:rsid w:val="00931662"/>
    <w:rsid w:val="00933DC7"/>
    <w:rsid w:val="00935AAB"/>
    <w:rsid w:val="00936DB2"/>
    <w:rsid w:val="009418F4"/>
    <w:rsid w:val="00942BBC"/>
    <w:rsid w:val="00944180"/>
    <w:rsid w:val="00944AA0"/>
    <w:rsid w:val="00947DA2"/>
    <w:rsid w:val="00951177"/>
    <w:rsid w:val="009616FC"/>
    <w:rsid w:val="009673E8"/>
    <w:rsid w:val="0097004A"/>
    <w:rsid w:val="00974DB8"/>
    <w:rsid w:val="00980661"/>
    <w:rsid w:val="0098093B"/>
    <w:rsid w:val="0098733F"/>
    <w:rsid w:val="009876D4"/>
    <w:rsid w:val="009914A5"/>
    <w:rsid w:val="0099548E"/>
    <w:rsid w:val="00995934"/>
    <w:rsid w:val="00996456"/>
    <w:rsid w:val="00996A12"/>
    <w:rsid w:val="0099768D"/>
    <w:rsid w:val="00997B0F"/>
    <w:rsid w:val="009A0CC3"/>
    <w:rsid w:val="009A1368"/>
    <w:rsid w:val="009A1CAD"/>
    <w:rsid w:val="009A3440"/>
    <w:rsid w:val="009A5832"/>
    <w:rsid w:val="009A6838"/>
    <w:rsid w:val="009B0B61"/>
    <w:rsid w:val="009B24B5"/>
    <w:rsid w:val="009B4109"/>
    <w:rsid w:val="009B4EBC"/>
    <w:rsid w:val="009B5ABB"/>
    <w:rsid w:val="009B73CE"/>
    <w:rsid w:val="009C2461"/>
    <w:rsid w:val="009C30AD"/>
    <w:rsid w:val="009C4E9F"/>
    <w:rsid w:val="009C5A15"/>
    <w:rsid w:val="009C6FE2"/>
    <w:rsid w:val="009C7674"/>
    <w:rsid w:val="009D004A"/>
    <w:rsid w:val="009D4B66"/>
    <w:rsid w:val="009D5880"/>
    <w:rsid w:val="009E1FD4"/>
    <w:rsid w:val="009E3B07"/>
    <w:rsid w:val="009E51D1"/>
    <w:rsid w:val="009E5531"/>
    <w:rsid w:val="009F171E"/>
    <w:rsid w:val="009F3D2F"/>
    <w:rsid w:val="009F7052"/>
    <w:rsid w:val="00A024FA"/>
    <w:rsid w:val="00A02668"/>
    <w:rsid w:val="00A02801"/>
    <w:rsid w:val="00A04568"/>
    <w:rsid w:val="00A066C1"/>
    <w:rsid w:val="00A06A39"/>
    <w:rsid w:val="00A07F58"/>
    <w:rsid w:val="00A131CB"/>
    <w:rsid w:val="00A14847"/>
    <w:rsid w:val="00A16D6D"/>
    <w:rsid w:val="00A21383"/>
    <w:rsid w:val="00A2199F"/>
    <w:rsid w:val="00A21B31"/>
    <w:rsid w:val="00A2360E"/>
    <w:rsid w:val="00A26E0C"/>
    <w:rsid w:val="00A2779B"/>
    <w:rsid w:val="00A309C5"/>
    <w:rsid w:val="00A32FCB"/>
    <w:rsid w:val="00A33D5E"/>
    <w:rsid w:val="00A34C25"/>
    <w:rsid w:val="00A3507D"/>
    <w:rsid w:val="00A3717A"/>
    <w:rsid w:val="00A4088C"/>
    <w:rsid w:val="00A41A48"/>
    <w:rsid w:val="00A4456B"/>
    <w:rsid w:val="00A448D4"/>
    <w:rsid w:val="00A452E0"/>
    <w:rsid w:val="00A506DF"/>
    <w:rsid w:val="00A51EA5"/>
    <w:rsid w:val="00A53742"/>
    <w:rsid w:val="00A54B76"/>
    <w:rsid w:val="00A552A5"/>
    <w:rsid w:val="00A557A1"/>
    <w:rsid w:val="00A60182"/>
    <w:rsid w:val="00A63059"/>
    <w:rsid w:val="00A63AE3"/>
    <w:rsid w:val="00A651A4"/>
    <w:rsid w:val="00A71361"/>
    <w:rsid w:val="00A746E2"/>
    <w:rsid w:val="00A81FF2"/>
    <w:rsid w:val="00A83904"/>
    <w:rsid w:val="00A85319"/>
    <w:rsid w:val="00A9028C"/>
    <w:rsid w:val="00A90A79"/>
    <w:rsid w:val="00A96B30"/>
    <w:rsid w:val="00A97FAD"/>
    <w:rsid w:val="00AA3235"/>
    <w:rsid w:val="00AA442D"/>
    <w:rsid w:val="00AA59B5"/>
    <w:rsid w:val="00AA75D1"/>
    <w:rsid w:val="00AA7777"/>
    <w:rsid w:val="00AA7B84"/>
    <w:rsid w:val="00AB5E87"/>
    <w:rsid w:val="00AC0B4C"/>
    <w:rsid w:val="00AC1164"/>
    <w:rsid w:val="00AC2296"/>
    <w:rsid w:val="00AC2754"/>
    <w:rsid w:val="00AC48B0"/>
    <w:rsid w:val="00AC4ACD"/>
    <w:rsid w:val="00AC5DFB"/>
    <w:rsid w:val="00AD0CCB"/>
    <w:rsid w:val="00AD13DC"/>
    <w:rsid w:val="00AD6DE2"/>
    <w:rsid w:val="00AE0A40"/>
    <w:rsid w:val="00AE1A94"/>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218"/>
    <w:rsid w:val="00B077FA"/>
    <w:rsid w:val="00B127D7"/>
    <w:rsid w:val="00B13B0C"/>
    <w:rsid w:val="00B14408"/>
    <w:rsid w:val="00B1453A"/>
    <w:rsid w:val="00B14D0F"/>
    <w:rsid w:val="00B20F82"/>
    <w:rsid w:val="00B229B5"/>
    <w:rsid w:val="00B25BD5"/>
    <w:rsid w:val="00B26A4F"/>
    <w:rsid w:val="00B32447"/>
    <w:rsid w:val="00B32F08"/>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67804"/>
    <w:rsid w:val="00B72BE3"/>
    <w:rsid w:val="00B73954"/>
    <w:rsid w:val="00B73B80"/>
    <w:rsid w:val="00B770C7"/>
    <w:rsid w:val="00B80F26"/>
    <w:rsid w:val="00B822BD"/>
    <w:rsid w:val="00B842F4"/>
    <w:rsid w:val="00B91A7B"/>
    <w:rsid w:val="00B929DD"/>
    <w:rsid w:val="00B93AF6"/>
    <w:rsid w:val="00B95405"/>
    <w:rsid w:val="00B963F1"/>
    <w:rsid w:val="00BA020A"/>
    <w:rsid w:val="00BA4505"/>
    <w:rsid w:val="00BB025A"/>
    <w:rsid w:val="00BB02A4"/>
    <w:rsid w:val="00BB1270"/>
    <w:rsid w:val="00BB1E44"/>
    <w:rsid w:val="00BB300A"/>
    <w:rsid w:val="00BB5267"/>
    <w:rsid w:val="00BB52B8"/>
    <w:rsid w:val="00BB59D8"/>
    <w:rsid w:val="00BB7E69"/>
    <w:rsid w:val="00BC0E51"/>
    <w:rsid w:val="00BC3C1F"/>
    <w:rsid w:val="00BC7CE7"/>
    <w:rsid w:val="00BD1E1C"/>
    <w:rsid w:val="00BD295E"/>
    <w:rsid w:val="00BD4664"/>
    <w:rsid w:val="00BD5009"/>
    <w:rsid w:val="00BE1193"/>
    <w:rsid w:val="00BE28AB"/>
    <w:rsid w:val="00BF4849"/>
    <w:rsid w:val="00BF4EA7"/>
    <w:rsid w:val="00BF56CB"/>
    <w:rsid w:val="00BF6525"/>
    <w:rsid w:val="00C00EDB"/>
    <w:rsid w:val="00C0183E"/>
    <w:rsid w:val="00C02863"/>
    <w:rsid w:val="00C0383A"/>
    <w:rsid w:val="00C067FF"/>
    <w:rsid w:val="00C07A53"/>
    <w:rsid w:val="00C12862"/>
    <w:rsid w:val="00C132CA"/>
    <w:rsid w:val="00C13D28"/>
    <w:rsid w:val="00C14585"/>
    <w:rsid w:val="00C149F5"/>
    <w:rsid w:val="00C165A0"/>
    <w:rsid w:val="00C216CE"/>
    <w:rsid w:val="00C2184F"/>
    <w:rsid w:val="00C22A78"/>
    <w:rsid w:val="00C23C7E"/>
    <w:rsid w:val="00C246C5"/>
    <w:rsid w:val="00C25243"/>
    <w:rsid w:val="00C25A82"/>
    <w:rsid w:val="00C30A2A"/>
    <w:rsid w:val="00C33993"/>
    <w:rsid w:val="00C36F72"/>
    <w:rsid w:val="00C4069E"/>
    <w:rsid w:val="00C41ADC"/>
    <w:rsid w:val="00C44149"/>
    <w:rsid w:val="00C44410"/>
    <w:rsid w:val="00C44A15"/>
    <w:rsid w:val="00C4630A"/>
    <w:rsid w:val="00C46B9C"/>
    <w:rsid w:val="00C5212C"/>
    <w:rsid w:val="00C523F0"/>
    <w:rsid w:val="00C526D2"/>
    <w:rsid w:val="00C53A91"/>
    <w:rsid w:val="00C5794E"/>
    <w:rsid w:val="00C60968"/>
    <w:rsid w:val="00C63D39"/>
    <w:rsid w:val="00C63EDD"/>
    <w:rsid w:val="00C65B36"/>
    <w:rsid w:val="00C65F1F"/>
    <w:rsid w:val="00C7292E"/>
    <w:rsid w:val="00C73027"/>
    <w:rsid w:val="00C74E88"/>
    <w:rsid w:val="00C80924"/>
    <w:rsid w:val="00C8286B"/>
    <w:rsid w:val="00C82DB7"/>
    <w:rsid w:val="00C947F8"/>
    <w:rsid w:val="00C9515F"/>
    <w:rsid w:val="00C963C5"/>
    <w:rsid w:val="00CA030C"/>
    <w:rsid w:val="00CA1F41"/>
    <w:rsid w:val="00CA32EE"/>
    <w:rsid w:val="00CA5771"/>
    <w:rsid w:val="00CA6A1A"/>
    <w:rsid w:val="00CB31B8"/>
    <w:rsid w:val="00CB5383"/>
    <w:rsid w:val="00CC06AD"/>
    <w:rsid w:val="00CC1E75"/>
    <w:rsid w:val="00CC260B"/>
    <w:rsid w:val="00CC2E0E"/>
    <w:rsid w:val="00CC31E0"/>
    <w:rsid w:val="00CC361C"/>
    <w:rsid w:val="00CC474B"/>
    <w:rsid w:val="00CC5B7D"/>
    <w:rsid w:val="00CC658C"/>
    <w:rsid w:val="00CC67BF"/>
    <w:rsid w:val="00CD0843"/>
    <w:rsid w:val="00CD4E31"/>
    <w:rsid w:val="00CD5A78"/>
    <w:rsid w:val="00CD7345"/>
    <w:rsid w:val="00CE165C"/>
    <w:rsid w:val="00CE372E"/>
    <w:rsid w:val="00CF0A1B"/>
    <w:rsid w:val="00CF19F6"/>
    <w:rsid w:val="00CF2F4F"/>
    <w:rsid w:val="00CF536D"/>
    <w:rsid w:val="00CF5772"/>
    <w:rsid w:val="00D02E9D"/>
    <w:rsid w:val="00D05EF3"/>
    <w:rsid w:val="00D06035"/>
    <w:rsid w:val="00D10CB8"/>
    <w:rsid w:val="00D12806"/>
    <w:rsid w:val="00D12D44"/>
    <w:rsid w:val="00D15018"/>
    <w:rsid w:val="00D158AC"/>
    <w:rsid w:val="00D15A5B"/>
    <w:rsid w:val="00D1694C"/>
    <w:rsid w:val="00D20F5E"/>
    <w:rsid w:val="00D23B76"/>
    <w:rsid w:val="00D24B4A"/>
    <w:rsid w:val="00D379A3"/>
    <w:rsid w:val="00D40289"/>
    <w:rsid w:val="00D40553"/>
    <w:rsid w:val="00D45FF3"/>
    <w:rsid w:val="00D469C4"/>
    <w:rsid w:val="00D512CF"/>
    <w:rsid w:val="00D528B9"/>
    <w:rsid w:val="00D53186"/>
    <w:rsid w:val="00D5487D"/>
    <w:rsid w:val="00D57B8F"/>
    <w:rsid w:val="00D60140"/>
    <w:rsid w:val="00D6024A"/>
    <w:rsid w:val="00D608B5"/>
    <w:rsid w:val="00D64739"/>
    <w:rsid w:val="00D67D6A"/>
    <w:rsid w:val="00D71F99"/>
    <w:rsid w:val="00D734DF"/>
    <w:rsid w:val="00D73CA4"/>
    <w:rsid w:val="00D73D71"/>
    <w:rsid w:val="00D74396"/>
    <w:rsid w:val="00D80284"/>
    <w:rsid w:val="00D81F71"/>
    <w:rsid w:val="00D8642D"/>
    <w:rsid w:val="00D90A5E"/>
    <w:rsid w:val="00D91A68"/>
    <w:rsid w:val="00D9324C"/>
    <w:rsid w:val="00D95278"/>
    <w:rsid w:val="00D95A68"/>
    <w:rsid w:val="00D9608F"/>
    <w:rsid w:val="00DA17C7"/>
    <w:rsid w:val="00DA1DD9"/>
    <w:rsid w:val="00DA29EF"/>
    <w:rsid w:val="00DA6A9A"/>
    <w:rsid w:val="00DA7E94"/>
    <w:rsid w:val="00DB1EFD"/>
    <w:rsid w:val="00DB2347"/>
    <w:rsid w:val="00DB3EAF"/>
    <w:rsid w:val="00DB46C6"/>
    <w:rsid w:val="00DB6FFA"/>
    <w:rsid w:val="00DC3203"/>
    <w:rsid w:val="00DC3C99"/>
    <w:rsid w:val="00DC52F5"/>
    <w:rsid w:val="00DC5FD0"/>
    <w:rsid w:val="00DC78FB"/>
    <w:rsid w:val="00DD0354"/>
    <w:rsid w:val="00DD27D7"/>
    <w:rsid w:val="00DD458C"/>
    <w:rsid w:val="00DD72E9"/>
    <w:rsid w:val="00DD7605"/>
    <w:rsid w:val="00DE2020"/>
    <w:rsid w:val="00DE3476"/>
    <w:rsid w:val="00DE54A5"/>
    <w:rsid w:val="00DE7BEA"/>
    <w:rsid w:val="00DF5255"/>
    <w:rsid w:val="00DF5B84"/>
    <w:rsid w:val="00DF6D5B"/>
    <w:rsid w:val="00DF771B"/>
    <w:rsid w:val="00DF7EE2"/>
    <w:rsid w:val="00E01BAA"/>
    <w:rsid w:val="00E0282A"/>
    <w:rsid w:val="00E02F9B"/>
    <w:rsid w:val="00E0721B"/>
    <w:rsid w:val="00E07E14"/>
    <w:rsid w:val="00E14F94"/>
    <w:rsid w:val="00E17336"/>
    <w:rsid w:val="00E17D15"/>
    <w:rsid w:val="00E22B95"/>
    <w:rsid w:val="00E30331"/>
    <w:rsid w:val="00E30BB8"/>
    <w:rsid w:val="00E31F9C"/>
    <w:rsid w:val="00E40488"/>
    <w:rsid w:val="00E50367"/>
    <w:rsid w:val="00E50AFA"/>
    <w:rsid w:val="00E51ABA"/>
    <w:rsid w:val="00E524CB"/>
    <w:rsid w:val="00E65456"/>
    <w:rsid w:val="00E65A91"/>
    <w:rsid w:val="00E66188"/>
    <w:rsid w:val="00E664FB"/>
    <w:rsid w:val="00E672F0"/>
    <w:rsid w:val="00E70373"/>
    <w:rsid w:val="00E72E40"/>
    <w:rsid w:val="00E73665"/>
    <w:rsid w:val="00E73999"/>
    <w:rsid w:val="00E73BDC"/>
    <w:rsid w:val="00E73E9E"/>
    <w:rsid w:val="00E746A2"/>
    <w:rsid w:val="00E81660"/>
    <w:rsid w:val="00E8251D"/>
    <w:rsid w:val="00E854FE"/>
    <w:rsid w:val="00E906CC"/>
    <w:rsid w:val="00E939A0"/>
    <w:rsid w:val="00E97117"/>
    <w:rsid w:val="00E97E4E"/>
    <w:rsid w:val="00EA1CC2"/>
    <w:rsid w:val="00EA2D76"/>
    <w:rsid w:val="00EA4644"/>
    <w:rsid w:val="00EA758A"/>
    <w:rsid w:val="00EA776B"/>
    <w:rsid w:val="00EB096F"/>
    <w:rsid w:val="00EB199F"/>
    <w:rsid w:val="00EB21A4"/>
    <w:rsid w:val="00EB27C4"/>
    <w:rsid w:val="00EB5387"/>
    <w:rsid w:val="00EB5C10"/>
    <w:rsid w:val="00EB7322"/>
    <w:rsid w:val="00EC0FE9"/>
    <w:rsid w:val="00EC198B"/>
    <w:rsid w:val="00EC19CC"/>
    <w:rsid w:val="00EC3D04"/>
    <w:rsid w:val="00EC426D"/>
    <w:rsid w:val="00EC571B"/>
    <w:rsid w:val="00EC57D7"/>
    <w:rsid w:val="00EC5BA2"/>
    <w:rsid w:val="00EC6385"/>
    <w:rsid w:val="00EC67B9"/>
    <w:rsid w:val="00EC7E27"/>
    <w:rsid w:val="00ED1812"/>
    <w:rsid w:val="00ED19FC"/>
    <w:rsid w:val="00ED1DE9"/>
    <w:rsid w:val="00ED23D4"/>
    <w:rsid w:val="00ED33A4"/>
    <w:rsid w:val="00ED5E0B"/>
    <w:rsid w:val="00EE37B6"/>
    <w:rsid w:val="00EE71FB"/>
    <w:rsid w:val="00EF0F45"/>
    <w:rsid w:val="00EF5C12"/>
    <w:rsid w:val="00EF7463"/>
    <w:rsid w:val="00EF7971"/>
    <w:rsid w:val="00F002EF"/>
    <w:rsid w:val="00F01EE9"/>
    <w:rsid w:val="00F04900"/>
    <w:rsid w:val="00F04F1D"/>
    <w:rsid w:val="00F065A4"/>
    <w:rsid w:val="00F126B9"/>
    <w:rsid w:val="00F12715"/>
    <w:rsid w:val="00F144D5"/>
    <w:rsid w:val="00F146F0"/>
    <w:rsid w:val="00F15039"/>
    <w:rsid w:val="00F20FF3"/>
    <w:rsid w:val="00F2190B"/>
    <w:rsid w:val="00F228B5"/>
    <w:rsid w:val="00F228C1"/>
    <w:rsid w:val="00F2389C"/>
    <w:rsid w:val="00F25C67"/>
    <w:rsid w:val="00F27008"/>
    <w:rsid w:val="00F30DFF"/>
    <w:rsid w:val="00F32B80"/>
    <w:rsid w:val="00F340EB"/>
    <w:rsid w:val="00F35285"/>
    <w:rsid w:val="00F43B9D"/>
    <w:rsid w:val="00F44D5E"/>
    <w:rsid w:val="00F534E0"/>
    <w:rsid w:val="00F53A35"/>
    <w:rsid w:val="00F55A3D"/>
    <w:rsid w:val="00F56E13"/>
    <w:rsid w:val="00F5744B"/>
    <w:rsid w:val="00F61209"/>
    <w:rsid w:val="00F6259E"/>
    <w:rsid w:val="00F62968"/>
    <w:rsid w:val="00F65DD4"/>
    <w:rsid w:val="00F672B2"/>
    <w:rsid w:val="00F83973"/>
    <w:rsid w:val="00F8735D"/>
    <w:rsid w:val="00F87FA3"/>
    <w:rsid w:val="00F93D8C"/>
    <w:rsid w:val="00F97CC4"/>
    <w:rsid w:val="00FA3102"/>
    <w:rsid w:val="00FA48D4"/>
    <w:rsid w:val="00FA54FA"/>
    <w:rsid w:val="00FA6D39"/>
    <w:rsid w:val="00FA7211"/>
    <w:rsid w:val="00FB17B6"/>
    <w:rsid w:val="00FB227E"/>
    <w:rsid w:val="00FB3D61"/>
    <w:rsid w:val="00FB44CE"/>
    <w:rsid w:val="00FB5009"/>
    <w:rsid w:val="00FB76AB"/>
    <w:rsid w:val="00FB77E9"/>
    <w:rsid w:val="00FC4213"/>
    <w:rsid w:val="00FD03FE"/>
    <w:rsid w:val="00FD1198"/>
    <w:rsid w:val="00FD126E"/>
    <w:rsid w:val="00FD3C36"/>
    <w:rsid w:val="00FD4D81"/>
    <w:rsid w:val="00FD5292"/>
    <w:rsid w:val="00FD5989"/>
    <w:rsid w:val="00FD7498"/>
    <w:rsid w:val="00FD7FB3"/>
    <w:rsid w:val="00FE2802"/>
    <w:rsid w:val="00FE311C"/>
    <w:rsid w:val="00FE4713"/>
    <w:rsid w:val="00FE7D2C"/>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5CCDF"/>
  <w14:defaultImageDpi w14:val="330"/>
  <w15:docId w15:val="{61F9C9E1-F3A9-45E0-9A04-9C93EC68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5963"/>
    <w:pPr>
      <w:tabs>
        <w:tab w:val="center" w:pos="4253"/>
        <w:tab w:val="right" w:pos="8222"/>
      </w:tabs>
      <w:ind w:left="57" w:right="57"/>
    </w:pPr>
    <w:rPr>
      <w:szCs w:val="24"/>
      <w:lang w:val="en-ZA"/>
    </w:rPr>
  </w:style>
  <w:style w:type="paragraph" w:styleId="Heading1">
    <w:name w:val="heading 1"/>
    <w:basedOn w:val="Normal"/>
    <w:next w:val="Paragraph"/>
    <w:link w:val="Heading1Char"/>
    <w:uiPriority w:val="9"/>
    <w:qFormat/>
    <w:rsid w:val="00196B08"/>
    <w:pPr>
      <w:widowControl w:val="0"/>
      <w:numPr>
        <w:numId w:val="32"/>
      </w:numPr>
      <w:tabs>
        <w:tab w:val="left" w:pos="355"/>
      </w:tabs>
      <w:autoSpaceDE w:val="0"/>
      <w:autoSpaceDN w:val="0"/>
      <w:spacing w:before="280" w:line="225" w:lineRule="exact"/>
      <w:ind w:left="358" w:hanging="301"/>
      <w:jc w:val="both"/>
      <w:outlineLvl w:val="0"/>
    </w:pPr>
    <w:rPr>
      <w:b/>
      <w:bCs/>
      <w:spacing w:val="-2"/>
      <w:szCs w:val="20"/>
      <w:lang w:val="en-US" w:eastAsia="en-US"/>
    </w:rPr>
  </w:style>
  <w:style w:type="paragraph" w:styleId="Heading2">
    <w:name w:val="heading 2"/>
    <w:basedOn w:val="Normal"/>
    <w:next w:val="Paragraph"/>
    <w:link w:val="Heading2Char"/>
    <w:uiPriority w:val="9"/>
    <w:qFormat/>
    <w:rsid w:val="00345813"/>
    <w:pPr>
      <w:numPr>
        <w:ilvl w:val="1"/>
        <w:numId w:val="32"/>
      </w:numPr>
      <w:tabs>
        <w:tab w:val="left" w:pos="505"/>
      </w:tabs>
      <w:autoSpaceDE w:val="0"/>
      <w:autoSpaceDN w:val="0"/>
      <w:spacing w:before="280" w:line="225" w:lineRule="exact"/>
      <w:ind w:left="505" w:hanging="448"/>
      <w:jc w:val="both"/>
      <w:outlineLvl w:val="1"/>
    </w:pPr>
    <w:rPr>
      <w:i/>
      <w:spacing w:val="-4"/>
      <w:szCs w:val="22"/>
      <w:lang w:val="en-US" w:eastAsia="en-US"/>
    </w:rPr>
  </w:style>
  <w:style w:type="paragraph" w:styleId="Heading3">
    <w:name w:val="heading 3"/>
    <w:basedOn w:val="Normal"/>
    <w:next w:val="Paragraph"/>
    <w:link w:val="Heading3Char"/>
    <w:uiPriority w:val="9"/>
    <w:rsid w:val="001549E9"/>
    <w:pPr>
      <w:widowControl w:val="0"/>
      <w:numPr>
        <w:ilvl w:val="2"/>
        <w:numId w:val="32"/>
      </w:numPr>
      <w:tabs>
        <w:tab w:val="left" w:pos="654"/>
      </w:tabs>
      <w:autoSpaceDE w:val="0"/>
      <w:autoSpaceDN w:val="0"/>
      <w:spacing w:before="73" w:line="228" w:lineRule="auto"/>
      <w:ind w:right="55" w:firstLine="0"/>
      <w:jc w:val="both"/>
      <w:outlineLvl w:val="2"/>
    </w:pPr>
    <w:rPr>
      <w:i/>
      <w:szCs w:val="22"/>
      <w:lang w:val="en-US" w:eastAsia="en-US"/>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Title"/>
    <w:next w:val="Normal"/>
    <w:qFormat/>
    <w:rsid w:val="00581680"/>
  </w:style>
  <w:style w:type="paragraph" w:customStyle="1" w:styleId="Authornames">
    <w:name w:val="Author names"/>
    <w:basedOn w:val="Normal"/>
    <w:next w:val="Normal"/>
    <w:qFormat/>
    <w:rsid w:val="00052843"/>
    <w:pPr>
      <w:spacing w:after="240"/>
      <w:ind w:left="1474"/>
    </w:pPr>
    <w:rPr>
      <w:b/>
      <w:sz w:val="22"/>
      <w:szCs w:val="22"/>
      <w:lang w:val="en-US" w:eastAsia="en-US"/>
    </w:rPr>
  </w:style>
  <w:style w:type="paragraph" w:customStyle="1" w:styleId="Affiliation">
    <w:name w:val="Affiliation"/>
    <w:basedOn w:val="BodyText"/>
    <w:qFormat/>
    <w:rsid w:val="00052843"/>
    <w:pPr>
      <w:spacing w:after="0" w:line="225" w:lineRule="exact"/>
      <w:ind w:left="1474"/>
    </w:pPr>
  </w:style>
  <w:style w:type="paragraph" w:customStyle="1" w:styleId="Heading3withparagraph">
    <w:name w:val="Heading 3 with paragraph"/>
    <w:basedOn w:val="Heading3"/>
    <w:link w:val="Heading3withparagraphChar"/>
    <w:qFormat/>
    <w:rsid w:val="001549E9"/>
  </w:style>
  <w:style w:type="paragraph" w:customStyle="1" w:styleId="Abstract">
    <w:name w:val="Abstract"/>
    <w:basedOn w:val="BodyText"/>
    <w:next w:val="Normal"/>
    <w:qFormat/>
    <w:rsid w:val="00770EC0"/>
    <w:pPr>
      <w:spacing w:before="68" w:after="800" w:line="228" w:lineRule="auto"/>
      <w:ind w:left="1474"/>
    </w:pPr>
  </w:style>
  <w:style w:type="paragraph" w:customStyle="1" w:styleId="Correspondencedetails">
    <w:name w:val="Correspondence details"/>
    <w:basedOn w:val="BodyText"/>
    <w:qFormat/>
    <w:rsid w:val="006B12C7"/>
    <w:pPr>
      <w:spacing w:before="240" w:after="100" w:line="478" w:lineRule="auto"/>
      <w:ind w:left="1474" w:right="1474"/>
    </w:pPr>
  </w:style>
  <w:style w:type="paragraph" w:customStyle="1" w:styleId="Displayedquotation">
    <w:name w:val="Displayed quotation"/>
    <w:basedOn w:val="Normal"/>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numPr>
        <w:numId w:val="24"/>
      </w:numPr>
      <w:spacing w:after="240"/>
      <w:contextualSpacing/>
    </w:pPr>
  </w:style>
  <w:style w:type="paragraph" w:customStyle="1" w:styleId="Displayedequation">
    <w:name w:val="Displayed equation"/>
    <w:basedOn w:val="Normal"/>
    <w:next w:val="Paragraph"/>
    <w:qFormat/>
    <w:rsid w:val="00EF0F45"/>
    <w:pPr>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BodyText"/>
    <w:next w:val="Normal"/>
    <w:qFormat/>
    <w:rsid w:val="00E97117"/>
    <w:pPr>
      <w:spacing w:before="166" w:line="249" w:lineRule="auto"/>
    </w:pPr>
  </w:style>
  <w:style w:type="paragraph" w:customStyle="1" w:styleId="Figurecaption">
    <w:name w:val="Figure caption"/>
    <w:basedOn w:val="BodyText"/>
    <w:next w:val="Normal"/>
    <w:qFormat/>
    <w:rsid w:val="00E97117"/>
    <w:pPr>
      <w:spacing w:line="249" w:lineRule="auto"/>
      <w:ind w:right="55"/>
    </w:pPr>
  </w:style>
  <w:style w:type="paragraph" w:customStyle="1" w:styleId="Footnotes">
    <w:name w:val="Footnotes"/>
    <w:basedOn w:val="Normal"/>
    <w:qFormat/>
    <w:rsid w:val="00C0183E"/>
    <w:pPr>
      <w:widowControl w:val="0"/>
      <w:autoSpaceDE w:val="0"/>
      <w:autoSpaceDN w:val="0"/>
      <w:ind w:left="272"/>
    </w:pPr>
    <w:rPr>
      <w:sz w:val="16"/>
      <w:szCs w:val="22"/>
      <w:lang w:val="en-US" w:eastAsia="en-US"/>
    </w:rPr>
  </w:style>
  <w:style w:type="character" w:styleId="CommentReference">
    <w:name w:val="annotation reference"/>
    <w:basedOn w:val="DefaultParagraphFont"/>
    <w:semiHidden/>
    <w:unhideWhenUsed/>
    <w:rsid w:val="00B229B5"/>
    <w:rPr>
      <w:sz w:val="16"/>
      <w:szCs w:val="16"/>
    </w:rPr>
  </w:style>
  <w:style w:type="character" w:customStyle="1" w:styleId="Heading3withparagraphChar">
    <w:name w:val="Heading 3 with paragraph Char"/>
    <w:basedOn w:val="Heading3Char"/>
    <w:link w:val="Heading3withparagraph"/>
    <w:rsid w:val="001549E9"/>
    <w:rPr>
      <w:i/>
      <w:szCs w:val="22"/>
      <w:lang w:val="en-US" w:eastAsia="en-US"/>
    </w:rPr>
  </w:style>
  <w:style w:type="paragraph" w:customStyle="1" w:styleId="Paragraph">
    <w:name w:val="Paragraph"/>
    <w:basedOn w:val="Normal"/>
    <w:next w:val="Newparagraph"/>
    <w:qFormat/>
    <w:rsid w:val="002343E0"/>
    <w:pPr>
      <w:spacing w:before="8" w:line="223" w:lineRule="auto"/>
      <w:ind w:right="55"/>
      <w:jc w:val="both"/>
    </w:pPr>
  </w:style>
  <w:style w:type="paragraph" w:customStyle="1" w:styleId="Newparagraph">
    <w:name w:val="New paragraph"/>
    <w:basedOn w:val="BodyText"/>
    <w:qFormat/>
    <w:rsid w:val="00D06035"/>
    <w:pPr>
      <w:spacing w:before="221" w:line="226" w:lineRule="auto"/>
      <w:ind w:firstLine="301"/>
    </w:pPr>
  </w:style>
  <w:style w:type="paragraph" w:styleId="NormalIndent">
    <w:name w:val="Normal Indent"/>
    <w:basedOn w:val="Normal"/>
    <w:rsid w:val="00526454"/>
    <w:pPr>
      <w:ind w:left="720"/>
    </w:pPr>
  </w:style>
  <w:style w:type="paragraph" w:customStyle="1" w:styleId="References">
    <w:name w:val="References"/>
    <w:basedOn w:val="Normal"/>
    <w:qFormat/>
    <w:rsid w:val="001549E9"/>
    <w:pPr>
      <w:widowControl w:val="0"/>
      <w:numPr>
        <w:numId w:val="31"/>
      </w:numPr>
      <w:tabs>
        <w:tab w:val="left" w:pos="389"/>
      </w:tabs>
      <w:autoSpaceDE w:val="0"/>
      <w:autoSpaceDN w:val="0"/>
      <w:spacing w:before="142" w:line="228" w:lineRule="auto"/>
      <w:ind w:right="55"/>
      <w:jc w:val="both"/>
    </w:pPr>
    <w:rPr>
      <w:szCs w:val="22"/>
      <w:lang w:val="en-US" w:eastAsia="en-US"/>
    </w:rPr>
  </w:style>
  <w:style w:type="character" w:customStyle="1" w:styleId="Heading2Char">
    <w:name w:val="Heading 2 Char"/>
    <w:basedOn w:val="DefaultParagraphFont"/>
    <w:link w:val="Heading2"/>
    <w:uiPriority w:val="9"/>
    <w:rsid w:val="00345813"/>
    <w:rPr>
      <w:i/>
      <w:spacing w:val="-4"/>
      <w:szCs w:val="22"/>
      <w:lang w:val="en-US" w:eastAsia="en-US"/>
    </w:rPr>
  </w:style>
  <w:style w:type="character" w:customStyle="1" w:styleId="Heading1Char">
    <w:name w:val="Heading 1 Char"/>
    <w:basedOn w:val="DefaultParagraphFont"/>
    <w:link w:val="Heading1"/>
    <w:uiPriority w:val="9"/>
    <w:rsid w:val="00196B08"/>
    <w:rPr>
      <w:b/>
      <w:bCs/>
      <w:spacing w:val="-2"/>
      <w:lang w:val="en-US" w:eastAsia="en-US"/>
    </w:rPr>
  </w:style>
  <w:style w:type="character" w:customStyle="1" w:styleId="Heading3Char">
    <w:name w:val="Heading 3 Char"/>
    <w:basedOn w:val="DefaultParagraphFont"/>
    <w:link w:val="Heading3"/>
    <w:uiPriority w:val="9"/>
    <w:rsid w:val="00FB77E9"/>
    <w:rPr>
      <w:i/>
      <w:szCs w:val="22"/>
      <w:lang w:val="en-US" w:eastAsia="en-US"/>
    </w:rPr>
  </w:style>
  <w:style w:type="paragraph" w:customStyle="1" w:styleId="Bulletedlist">
    <w:name w:val="Bulleted list"/>
    <w:basedOn w:val="Paragraph"/>
    <w:next w:val="Paragraph"/>
    <w:qFormat/>
    <w:rsid w:val="004E0338"/>
    <w:pPr>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character" w:customStyle="1" w:styleId="Heading4Char">
    <w:name w:val="Heading 4 Char"/>
    <w:basedOn w:val="DefaultParagraphFont"/>
    <w:link w:val="Heading4"/>
    <w:rsid w:val="00F43B9D"/>
    <w:rPr>
      <w:bCs/>
      <w:sz w:val="24"/>
      <w:szCs w:val="28"/>
    </w:rPr>
  </w:style>
  <w:style w:type="paragraph" w:styleId="CommentText">
    <w:name w:val="annotation text"/>
    <w:basedOn w:val="Normal"/>
    <w:link w:val="CommentTextChar"/>
    <w:unhideWhenUsed/>
    <w:rsid w:val="00B229B5"/>
    <w:rPr>
      <w:szCs w:val="20"/>
    </w:rPr>
  </w:style>
  <w:style w:type="character" w:customStyle="1" w:styleId="CommentTextChar">
    <w:name w:val="Comment Text Char"/>
    <w:basedOn w:val="DefaultParagraphFont"/>
    <w:link w:val="CommentText"/>
    <w:rsid w:val="00B229B5"/>
  </w:style>
  <w:style w:type="paragraph" w:customStyle="1" w:styleId="Heading3Paragraph">
    <w:name w:val="Heading 3 + Paragraph"/>
    <w:basedOn w:val="Heading3"/>
    <w:next w:val="Newparagraph"/>
    <w:rsid w:val="00CC5B7D"/>
  </w:style>
  <w:style w:type="paragraph" w:styleId="BodyText">
    <w:name w:val="Body Text"/>
    <w:basedOn w:val="Normal"/>
    <w:link w:val="BodyTextChar"/>
    <w:uiPriority w:val="1"/>
    <w:qFormat/>
    <w:rsid w:val="00D06035"/>
    <w:pPr>
      <w:autoSpaceDE w:val="0"/>
      <w:autoSpaceDN w:val="0"/>
      <w:spacing w:after="240"/>
      <w:jc w:val="both"/>
    </w:pPr>
    <w:rPr>
      <w:szCs w:val="20"/>
      <w:lang w:val="en-US" w:eastAsia="en-US"/>
    </w:rPr>
  </w:style>
  <w:style w:type="character" w:customStyle="1" w:styleId="BodyTextChar">
    <w:name w:val="Body Text Char"/>
    <w:basedOn w:val="DefaultParagraphFont"/>
    <w:link w:val="BodyText"/>
    <w:uiPriority w:val="1"/>
    <w:rsid w:val="00D06035"/>
    <w:rPr>
      <w:lang w:val="en-US" w:eastAsia="en-US"/>
    </w:rPr>
  </w:style>
  <w:style w:type="character" w:styleId="Hyperlink">
    <w:name w:val="Hyperlink"/>
    <w:unhideWhenUsed/>
    <w:rsid w:val="002003FB"/>
    <w:rPr>
      <w:rFonts w:ascii="Courier New" w:hAnsi="Courier New" w:cs="Courier New"/>
    </w:rPr>
  </w:style>
  <w:style w:type="character" w:styleId="UnresolvedMention">
    <w:name w:val="Unresolved Mention"/>
    <w:basedOn w:val="DefaultParagraphFont"/>
    <w:uiPriority w:val="99"/>
    <w:semiHidden/>
    <w:unhideWhenUsed/>
    <w:rsid w:val="002146F0"/>
    <w:rPr>
      <w:color w:val="605E5C"/>
      <w:shd w:val="clear" w:color="auto" w:fill="E1DFDD"/>
    </w:rPr>
  </w:style>
  <w:style w:type="paragraph" w:styleId="CommentSubject">
    <w:name w:val="annotation subject"/>
    <w:basedOn w:val="CommentText"/>
    <w:next w:val="CommentText"/>
    <w:link w:val="CommentSubjectChar"/>
    <w:semiHidden/>
    <w:unhideWhenUsed/>
    <w:rsid w:val="00B229B5"/>
    <w:rPr>
      <w:b/>
      <w:bCs/>
    </w:rPr>
  </w:style>
  <w:style w:type="character" w:customStyle="1" w:styleId="CommentSubjectChar">
    <w:name w:val="Comment Subject Char"/>
    <w:basedOn w:val="CommentTextChar"/>
    <w:link w:val="CommentSubject"/>
    <w:semiHidden/>
    <w:rsid w:val="00B229B5"/>
    <w:rPr>
      <w:b/>
      <w:bCs/>
    </w:rPr>
  </w:style>
  <w:style w:type="character" w:styleId="FollowedHyperlink">
    <w:name w:val="FollowedHyperlink"/>
    <w:basedOn w:val="DefaultParagraphFont"/>
    <w:semiHidden/>
    <w:unhideWhenUsed/>
    <w:rsid w:val="00B229B5"/>
    <w:rPr>
      <w:color w:val="800080" w:themeColor="followedHyperlink"/>
      <w:u w:val="single"/>
    </w:rPr>
  </w:style>
  <w:style w:type="paragraph" w:customStyle="1" w:styleId="Indentedquote">
    <w:name w:val="Indented quote"/>
    <w:basedOn w:val="BodyText"/>
    <w:link w:val="IndentedquoteChar"/>
    <w:qFormat/>
    <w:rsid w:val="003025B4"/>
    <w:pPr>
      <w:ind w:left="355"/>
    </w:pPr>
    <w:rPr>
      <w:sz w:val="18"/>
      <w:szCs w:val="18"/>
    </w:rPr>
  </w:style>
  <w:style w:type="character" w:customStyle="1" w:styleId="IndentedquoteChar">
    <w:name w:val="Indented quote Char"/>
    <w:basedOn w:val="BodyTextChar"/>
    <w:link w:val="Indentedquote"/>
    <w:rsid w:val="003025B4"/>
    <w:rPr>
      <w:sz w:val="18"/>
      <w:szCs w:val="18"/>
      <w:lang w:val="en-US" w:eastAsia="en-US"/>
    </w:rPr>
  </w:style>
  <w:style w:type="paragraph" w:styleId="Title">
    <w:name w:val="Title"/>
    <w:basedOn w:val="Normal"/>
    <w:next w:val="Normal"/>
    <w:link w:val="TitleChar"/>
    <w:uiPriority w:val="10"/>
    <w:qFormat/>
    <w:rsid w:val="00581680"/>
    <w:pPr>
      <w:widowControl w:val="0"/>
      <w:autoSpaceDE w:val="0"/>
      <w:autoSpaceDN w:val="0"/>
      <w:spacing w:before="1800" w:after="560"/>
      <w:jc w:val="both"/>
    </w:pPr>
    <w:rPr>
      <w:rFonts w:ascii="Arial"/>
      <w:b/>
      <w:sz w:val="36"/>
      <w:szCs w:val="22"/>
      <w:lang w:val="en-US" w:eastAsia="en-US"/>
    </w:rPr>
  </w:style>
  <w:style w:type="character" w:customStyle="1" w:styleId="TitleChar">
    <w:name w:val="Title Char"/>
    <w:basedOn w:val="DefaultParagraphFont"/>
    <w:link w:val="Title"/>
    <w:uiPriority w:val="10"/>
    <w:rsid w:val="00581680"/>
    <w:rPr>
      <w:rFonts w:ascii="Arial"/>
      <w:b/>
      <w:sz w:val="36"/>
      <w:szCs w:val="22"/>
      <w:lang w:val="en-US" w:eastAsia="en-US"/>
    </w:rPr>
  </w:style>
  <w:style w:type="paragraph" w:customStyle="1" w:styleId="EndNoteBibliographyTitle">
    <w:name w:val="EndNote Bibliography Title"/>
    <w:basedOn w:val="Heading1"/>
    <w:link w:val="EndNoteBibliographyTitleChar"/>
    <w:qFormat/>
    <w:rsid w:val="00EA776B"/>
    <w:pPr>
      <w:numPr>
        <w:numId w:val="0"/>
      </w:numPr>
      <w:ind w:left="358" w:hanging="301"/>
    </w:pPr>
  </w:style>
  <w:style w:type="character" w:customStyle="1" w:styleId="EndNoteBibliographyTitleChar">
    <w:name w:val="EndNote Bibliography Title Char"/>
    <w:basedOn w:val="BodyTextChar"/>
    <w:link w:val="EndNoteBibliographyTitle"/>
    <w:rsid w:val="00EA776B"/>
    <w:rPr>
      <w:b/>
      <w:bCs/>
      <w:spacing w:val="-2"/>
      <w:lang w:val="en-US" w:eastAsia="en-US"/>
    </w:rPr>
  </w:style>
  <w:style w:type="paragraph" w:customStyle="1" w:styleId="EndNoteBibliography">
    <w:name w:val="EndNote Bibliography"/>
    <w:basedOn w:val="Normal"/>
    <w:link w:val="EndNoteBibliographyChar"/>
    <w:rsid w:val="00EA776B"/>
    <w:pPr>
      <w:spacing w:after="120"/>
      <w:jc w:val="both"/>
    </w:pPr>
    <w:rPr>
      <w:noProof/>
      <w:lang w:val="en-GB"/>
    </w:rPr>
  </w:style>
  <w:style w:type="character" w:customStyle="1" w:styleId="EndNoteBibliographyChar">
    <w:name w:val="EndNote Bibliography Char"/>
    <w:basedOn w:val="BodyTextChar"/>
    <w:link w:val="EndNoteBibliography"/>
    <w:rsid w:val="00EA776B"/>
    <w:rPr>
      <w:noProof/>
      <w:szCs w:val="24"/>
      <w:lang w:val="en-US" w:eastAsia="en-US"/>
    </w:rPr>
  </w:style>
  <w:style w:type="paragraph" w:styleId="Header">
    <w:name w:val="header"/>
    <w:basedOn w:val="Normal"/>
    <w:link w:val="HeaderChar"/>
    <w:unhideWhenUsed/>
    <w:rsid w:val="00BE28AB"/>
    <w:pPr>
      <w:tabs>
        <w:tab w:val="clear" w:pos="4253"/>
        <w:tab w:val="clear" w:pos="8222"/>
        <w:tab w:val="center" w:pos="4513"/>
        <w:tab w:val="right" w:pos="9026"/>
      </w:tabs>
    </w:pPr>
  </w:style>
  <w:style w:type="character" w:customStyle="1" w:styleId="HeaderChar">
    <w:name w:val="Header Char"/>
    <w:basedOn w:val="DefaultParagraphFont"/>
    <w:link w:val="Header"/>
    <w:rsid w:val="00BE28AB"/>
    <w:rPr>
      <w:szCs w:val="24"/>
      <w:lang w:val="en-ZA"/>
    </w:rPr>
  </w:style>
  <w:style w:type="paragraph" w:styleId="Footer">
    <w:name w:val="footer"/>
    <w:basedOn w:val="Normal"/>
    <w:link w:val="FooterChar"/>
    <w:unhideWhenUsed/>
    <w:rsid w:val="00BE28AB"/>
    <w:pPr>
      <w:tabs>
        <w:tab w:val="clear" w:pos="4253"/>
        <w:tab w:val="clear" w:pos="8222"/>
        <w:tab w:val="center" w:pos="4513"/>
        <w:tab w:val="right" w:pos="9026"/>
      </w:tabs>
    </w:pPr>
  </w:style>
  <w:style w:type="character" w:customStyle="1" w:styleId="FooterChar">
    <w:name w:val="Footer Char"/>
    <w:basedOn w:val="DefaultParagraphFont"/>
    <w:link w:val="Footer"/>
    <w:rsid w:val="00BE28AB"/>
    <w:rPr>
      <w:szCs w:val="24"/>
      <w:lang w:val="en-ZA"/>
    </w:rPr>
  </w:style>
  <w:style w:type="paragraph" w:styleId="ListParagraph">
    <w:name w:val="List Paragraph"/>
    <w:basedOn w:val="Normal"/>
    <w:uiPriority w:val="34"/>
    <w:qFormat/>
    <w:rsid w:val="002A7A49"/>
    <w:pPr>
      <w:tabs>
        <w:tab w:val="clear" w:pos="4253"/>
        <w:tab w:val="clear" w:pos="8222"/>
      </w:tabs>
      <w:spacing w:after="200" w:line="276" w:lineRule="auto"/>
      <w:ind w:left="720" w:right="0"/>
      <w:contextualSpacing/>
    </w:pPr>
    <w:rPr>
      <w:rFonts w:ascii="Calibri" w:eastAsia="SimSun" w:hAnsi="Calibri" w:cs="Cordia New"/>
      <w:sz w:val="22"/>
      <w:szCs w:val="28"/>
      <w:lang w:val="en-US" w:eastAsia="zh-CN" w:bidi="th-TH"/>
    </w:rPr>
  </w:style>
  <w:style w:type="character" w:customStyle="1" w:styleId="st1">
    <w:name w:val="st1"/>
    <w:rsid w:val="002A7A49"/>
  </w:style>
  <w:style w:type="paragraph" w:styleId="Bibliography">
    <w:name w:val="Bibliography"/>
    <w:basedOn w:val="Normal"/>
    <w:next w:val="Normal"/>
    <w:semiHidden/>
    <w:unhideWhenUsed/>
    <w:rsid w:val="002D6A8D"/>
  </w:style>
  <w:style w:type="paragraph" w:styleId="NormalWeb">
    <w:name w:val="Normal (Web)"/>
    <w:basedOn w:val="Normal"/>
    <w:uiPriority w:val="99"/>
    <w:semiHidden/>
    <w:unhideWhenUsed/>
    <w:rsid w:val="001E2C80"/>
    <w:pPr>
      <w:tabs>
        <w:tab w:val="clear" w:pos="4253"/>
        <w:tab w:val="clear" w:pos="8222"/>
      </w:tabs>
      <w:spacing w:before="100" w:beforeAutospacing="1" w:after="100" w:afterAutospacing="1"/>
      <w:ind w:left="0" w:right="0"/>
    </w:pPr>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1997">
      <w:bodyDiv w:val="1"/>
      <w:marLeft w:val="0"/>
      <w:marRight w:val="0"/>
      <w:marTop w:val="0"/>
      <w:marBottom w:val="0"/>
      <w:divBdr>
        <w:top w:val="none" w:sz="0" w:space="0" w:color="auto"/>
        <w:left w:val="none" w:sz="0" w:space="0" w:color="auto"/>
        <w:bottom w:val="none" w:sz="0" w:space="0" w:color="auto"/>
        <w:right w:val="none" w:sz="0" w:space="0" w:color="auto"/>
      </w:divBdr>
    </w:div>
    <w:div w:id="676620123">
      <w:bodyDiv w:val="1"/>
      <w:marLeft w:val="0"/>
      <w:marRight w:val="0"/>
      <w:marTop w:val="0"/>
      <w:marBottom w:val="0"/>
      <w:divBdr>
        <w:top w:val="none" w:sz="0" w:space="0" w:color="auto"/>
        <w:left w:val="none" w:sz="0" w:space="0" w:color="auto"/>
        <w:bottom w:val="none" w:sz="0" w:space="0" w:color="auto"/>
        <w:right w:val="none" w:sz="0" w:space="0" w:color="auto"/>
      </w:divBdr>
    </w:div>
    <w:div w:id="786436562">
      <w:bodyDiv w:val="1"/>
      <w:marLeft w:val="0"/>
      <w:marRight w:val="0"/>
      <w:marTop w:val="0"/>
      <w:marBottom w:val="0"/>
      <w:divBdr>
        <w:top w:val="none" w:sz="0" w:space="0" w:color="auto"/>
        <w:left w:val="none" w:sz="0" w:space="0" w:color="auto"/>
        <w:bottom w:val="none" w:sz="0" w:space="0" w:color="auto"/>
        <w:right w:val="none" w:sz="0" w:space="0" w:color="auto"/>
      </w:divBdr>
      <w:divsChild>
        <w:div w:id="17126607">
          <w:marLeft w:val="720"/>
          <w:marRight w:val="0"/>
          <w:marTop w:val="0"/>
          <w:marBottom w:val="160"/>
          <w:divBdr>
            <w:top w:val="none" w:sz="0" w:space="0" w:color="auto"/>
            <w:left w:val="none" w:sz="0" w:space="0" w:color="auto"/>
            <w:bottom w:val="none" w:sz="0" w:space="0" w:color="auto"/>
            <w:right w:val="none" w:sz="0" w:space="0" w:color="auto"/>
          </w:divBdr>
        </w:div>
      </w:divsChild>
    </w:div>
    <w:div w:id="848831530">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46041218">
      <w:bodyDiv w:val="1"/>
      <w:marLeft w:val="0"/>
      <w:marRight w:val="0"/>
      <w:marTop w:val="0"/>
      <w:marBottom w:val="0"/>
      <w:divBdr>
        <w:top w:val="none" w:sz="0" w:space="0" w:color="auto"/>
        <w:left w:val="none" w:sz="0" w:space="0" w:color="auto"/>
        <w:bottom w:val="none" w:sz="0" w:space="0" w:color="auto"/>
        <w:right w:val="none" w:sz="0" w:space="0" w:color="auto"/>
      </w:divBdr>
    </w:div>
    <w:div w:id="1041369113">
      <w:bodyDiv w:val="1"/>
      <w:marLeft w:val="0"/>
      <w:marRight w:val="0"/>
      <w:marTop w:val="0"/>
      <w:marBottom w:val="0"/>
      <w:divBdr>
        <w:top w:val="none" w:sz="0" w:space="0" w:color="auto"/>
        <w:left w:val="none" w:sz="0" w:space="0" w:color="auto"/>
        <w:bottom w:val="none" w:sz="0" w:space="0" w:color="auto"/>
        <w:right w:val="none" w:sz="0" w:space="0" w:color="auto"/>
      </w:divBdr>
    </w:div>
    <w:div w:id="1075974442">
      <w:bodyDiv w:val="1"/>
      <w:marLeft w:val="0"/>
      <w:marRight w:val="0"/>
      <w:marTop w:val="0"/>
      <w:marBottom w:val="0"/>
      <w:divBdr>
        <w:top w:val="none" w:sz="0" w:space="0" w:color="auto"/>
        <w:left w:val="none" w:sz="0" w:space="0" w:color="auto"/>
        <w:bottom w:val="none" w:sz="0" w:space="0" w:color="auto"/>
        <w:right w:val="none" w:sz="0" w:space="0" w:color="auto"/>
      </w:divBdr>
    </w:div>
    <w:div w:id="1140928535">
      <w:bodyDiv w:val="1"/>
      <w:marLeft w:val="0"/>
      <w:marRight w:val="0"/>
      <w:marTop w:val="0"/>
      <w:marBottom w:val="0"/>
      <w:divBdr>
        <w:top w:val="none" w:sz="0" w:space="0" w:color="auto"/>
        <w:left w:val="none" w:sz="0" w:space="0" w:color="auto"/>
        <w:bottom w:val="none" w:sz="0" w:space="0" w:color="auto"/>
        <w:right w:val="none" w:sz="0" w:space="0" w:color="auto"/>
      </w:divBdr>
    </w:div>
    <w:div w:id="1290741459">
      <w:bodyDiv w:val="1"/>
      <w:marLeft w:val="0"/>
      <w:marRight w:val="0"/>
      <w:marTop w:val="0"/>
      <w:marBottom w:val="0"/>
      <w:divBdr>
        <w:top w:val="none" w:sz="0" w:space="0" w:color="auto"/>
        <w:left w:val="none" w:sz="0" w:space="0" w:color="auto"/>
        <w:bottom w:val="none" w:sz="0" w:space="0" w:color="auto"/>
        <w:right w:val="none" w:sz="0" w:space="0" w:color="auto"/>
      </w:divBdr>
    </w:div>
    <w:div w:id="1331909819">
      <w:bodyDiv w:val="1"/>
      <w:marLeft w:val="0"/>
      <w:marRight w:val="0"/>
      <w:marTop w:val="0"/>
      <w:marBottom w:val="0"/>
      <w:divBdr>
        <w:top w:val="none" w:sz="0" w:space="0" w:color="auto"/>
        <w:left w:val="none" w:sz="0" w:space="0" w:color="auto"/>
        <w:bottom w:val="none" w:sz="0" w:space="0" w:color="auto"/>
        <w:right w:val="none" w:sz="0" w:space="0" w:color="auto"/>
      </w:divBdr>
    </w:div>
    <w:div w:id="1415971404">
      <w:bodyDiv w:val="1"/>
      <w:marLeft w:val="0"/>
      <w:marRight w:val="0"/>
      <w:marTop w:val="0"/>
      <w:marBottom w:val="0"/>
      <w:divBdr>
        <w:top w:val="none" w:sz="0" w:space="0" w:color="auto"/>
        <w:left w:val="none" w:sz="0" w:space="0" w:color="auto"/>
        <w:bottom w:val="none" w:sz="0" w:space="0" w:color="auto"/>
        <w:right w:val="none" w:sz="0" w:space="0" w:color="auto"/>
      </w:divBdr>
    </w:div>
    <w:div w:id="1501776901">
      <w:bodyDiv w:val="1"/>
      <w:marLeft w:val="0"/>
      <w:marRight w:val="0"/>
      <w:marTop w:val="0"/>
      <w:marBottom w:val="0"/>
      <w:divBdr>
        <w:top w:val="none" w:sz="0" w:space="0" w:color="auto"/>
        <w:left w:val="none" w:sz="0" w:space="0" w:color="auto"/>
        <w:bottom w:val="none" w:sz="0" w:space="0" w:color="auto"/>
        <w:right w:val="none" w:sz="0" w:space="0" w:color="auto"/>
      </w:divBdr>
      <w:divsChild>
        <w:div w:id="530725988">
          <w:marLeft w:val="720"/>
          <w:marRight w:val="0"/>
          <w:marTop w:val="0"/>
          <w:marBottom w:val="0"/>
          <w:divBdr>
            <w:top w:val="none" w:sz="0" w:space="0" w:color="auto"/>
            <w:left w:val="none" w:sz="0" w:space="0" w:color="auto"/>
            <w:bottom w:val="none" w:sz="0" w:space="0" w:color="auto"/>
            <w:right w:val="none" w:sz="0" w:space="0" w:color="auto"/>
          </w:divBdr>
        </w:div>
      </w:divsChild>
    </w:div>
    <w:div w:id="150690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77/0734904124124963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2/pat.4744"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nteJKO\AppData\Local\Temp\29ab1dcf-f102-49f7-a5fe-94f0e3880274_SAIP2025-Word-template.zip.274\SAIP2025-Word-template\001-yourna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B7E95-0B8F-49DA-AFA7-40FCB096D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001-yourname.dotx</Template>
  <TotalTime>1</TotalTime>
  <Pages>5</Pages>
  <Words>1891</Words>
  <Characters>10779</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TF_Template_Word_Windows_2016</vt:lpstr>
      <vt:lpstr>Introduction</vt:lpstr>
      <vt:lpstr>Materials and methods</vt:lpstr>
      <vt:lpstr>    Sample</vt:lpstr>
      <vt:lpstr>    Cone Calorimeter </vt:lpstr>
      <vt:lpstr>Results </vt:lpstr>
      <vt:lpstr>Discussions </vt:lpstr>
      <vt:lpstr>Conclusions </vt:lpstr>
      <vt:lpstr>References</vt:lpstr>
    </vt:vector>
  </TitlesOfParts>
  <Company>Informa Plc</Company>
  <LinksUpToDate>false</LinksUpToDate>
  <CharactersWithSpaces>12645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Joseph Kwaku Ofori Asante</dc:creator>
  <cp:lastModifiedBy>Joseph Kwaku Ofori Asante</cp:lastModifiedBy>
  <cp:revision>2</cp:revision>
  <cp:lastPrinted>2025-07-03T14:10:00Z</cp:lastPrinted>
  <dcterms:created xsi:type="dcterms:W3CDTF">2025-07-31T21:24:00Z</dcterms:created>
  <dcterms:modified xsi:type="dcterms:W3CDTF">2025-07-31T21:24:00Z</dcterms:modified>
</cp:coreProperties>
</file>