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1B603F">
      <w:pPr>
        <w:pStyle w:val="21"/>
      </w:pPr>
      <w:r>
        <w:rPr>
          <w:rFonts w:hint="default"/>
        </w:rPr>
        <w:t>Enhancing the Efficacy of Photodynamic Therapy: The Role</w:t>
      </w:r>
      <w:r>
        <w:rPr>
          <w:rFonts w:hint="default"/>
          <w:lang w:val="en-US"/>
        </w:rPr>
        <w:t xml:space="preserve"> </w:t>
      </w:r>
      <w:r>
        <w:rPr>
          <w:rFonts w:hint="default"/>
        </w:rPr>
        <w:t>of Hypocrellin B, Quercetin, and their combinations in</w:t>
      </w:r>
      <w:r>
        <w:rPr>
          <w:rFonts w:hint="default"/>
          <w:lang w:val="en-US"/>
        </w:rPr>
        <w:t xml:space="preserve"> a </w:t>
      </w:r>
      <w:bookmarkStart w:id="2" w:name="_GoBack"/>
      <w:bookmarkEnd w:id="2"/>
      <w:r>
        <w:rPr>
          <w:rFonts w:hint="default"/>
        </w:rPr>
        <w:t>Human Breast Cancer Cell Line</w:t>
      </w:r>
    </w:p>
    <w:p w14:paraId="7148434D">
      <w:pPr>
        <w:pStyle w:val="23"/>
      </w:pPr>
      <w:r>
        <w:rPr>
          <w:rFonts w:hint="default"/>
          <w:lang w:val="en-US"/>
        </w:rPr>
        <w:t>Sheeja S. Rajan</w:t>
      </w:r>
      <w:r>
        <w:rPr>
          <w:vertAlign w:val="superscript"/>
        </w:rPr>
        <w:t>1</w:t>
      </w:r>
      <w:r>
        <w:rPr>
          <w:rFonts w:hint="default"/>
          <w:vertAlign w:val="superscript"/>
        </w:rPr>
        <w:t>*</w:t>
      </w:r>
      <w:r>
        <w:rPr>
          <w:rFonts w:hint="default"/>
          <w:lang w:val="en-US"/>
        </w:rPr>
        <w:t xml:space="preserve"> and Heidi Abrahamse</w:t>
      </w:r>
      <w:r>
        <w:rPr>
          <w:rFonts w:hint="default"/>
          <w:vertAlign w:val="superscript"/>
          <w:lang w:val="en-US"/>
        </w:rPr>
        <w:t>1</w:t>
      </w:r>
      <w:r>
        <w:t xml:space="preserve"> </w:t>
      </w:r>
    </w:p>
    <w:p w14:paraId="5C09F6FF">
      <w:pPr>
        <w:pStyle w:val="24"/>
      </w:pPr>
      <w:r>
        <w:rPr>
          <w:vertAlign w:val="superscript"/>
        </w:rPr>
        <w:t>1</w:t>
      </w:r>
      <w:r>
        <w:rPr>
          <w:rFonts w:hint="default"/>
          <w:lang w:val="en-US"/>
        </w:rPr>
        <w:t>Laser Research Centre, Faculty of Health Sciences, University of Johannesburg, Johannesburg, South Africa</w:t>
      </w:r>
    </w:p>
    <w:p w14:paraId="05556D95">
      <w:pPr>
        <w:pStyle w:val="27"/>
      </w:pPr>
      <w:r>
        <w:t xml:space="preserve">E-mail: </w:t>
      </w:r>
      <w:r>
        <w:rPr>
          <w:rFonts w:hint="default"/>
          <w:lang w:val="en-US"/>
        </w:rPr>
        <w:t>srajan</w:t>
      </w:r>
      <w:r>
        <w:t>@</w:t>
      </w:r>
      <w:r>
        <w:rPr>
          <w:rFonts w:hint="default"/>
          <w:lang w:val="en-US"/>
        </w:rPr>
        <w:t>uj.ac.za</w:t>
      </w:r>
      <w:r>
        <w:rPr>
          <w:lang w:val="en-ZA"/>
        </w:rPr>
        <w:t xml:space="preserve"> </w:t>
      </w:r>
      <w:r>
        <w:t xml:space="preserve">  </w:t>
      </w:r>
    </w:p>
    <w:p w14:paraId="3959918B">
      <w:pPr>
        <w:pStyle w:val="26"/>
      </w:pPr>
      <w:r>
        <w:rPr>
          <w:b/>
        </w:rPr>
        <w:t>Abstract.</w:t>
      </w:r>
      <w:r>
        <w:rPr>
          <w:b/>
          <w:spacing w:val="80"/>
        </w:rPr>
        <w:t xml:space="preserve"> </w:t>
      </w:r>
      <w:r>
        <w:rPr>
          <w:rFonts w:hint="default"/>
        </w:rPr>
        <w:t>Photodynamic therapy (PDT) is an emerging treatment modality that utilizes</w:t>
      </w:r>
      <w:r>
        <w:rPr>
          <w:rFonts w:hint="default"/>
          <w:lang w:val="en-US"/>
        </w:rPr>
        <w:t xml:space="preserve"> </w:t>
      </w:r>
      <w:r>
        <w:rPr>
          <w:rFonts w:hint="default"/>
        </w:rPr>
        <w:t>photosensitizers and light to induce cytotoxic effects in cancer cells. This study</w:t>
      </w:r>
      <w:r>
        <w:rPr>
          <w:rFonts w:hint="default"/>
          <w:lang w:val="en-US"/>
        </w:rPr>
        <w:t xml:space="preserve"> </w:t>
      </w:r>
      <w:r>
        <w:rPr>
          <w:rFonts w:hint="default"/>
        </w:rPr>
        <w:t>investigates the combined therapeutic potential of hypocrellin B (HB) and quercetin</w:t>
      </w:r>
      <w:r>
        <w:rPr>
          <w:rFonts w:hint="default"/>
          <w:lang w:val="en-US"/>
        </w:rPr>
        <w:t xml:space="preserve"> </w:t>
      </w:r>
      <w:r>
        <w:rPr>
          <w:rFonts w:hint="default"/>
        </w:rPr>
        <w:t>(Quer) in PDT against human breast cancer cell lines. The primary objective was to</w:t>
      </w:r>
      <w:r>
        <w:rPr>
          <w:rFonts w:hint="default"/>
          <w:lang w:val="en-US"/>
        </w:rPr>
        <w:t xml:space="preserve"> </w:t>
      </w:r>
      <w:r>
        <w:rPr>
          <w:rFonts w:hint="default"/>
        </w:rPr>
        <w:t>evaluate the effects of PDT with HB, Quer, and their combination on cell viability,</w:t>
      </w:r>
      <w:r>
        <w:rPr>
          <w:rFonts w:hint="default"/>
          <w:lang w:val="en-US"/>
        </w:rPr>
        <w:t xml:space="preserve"> </w:t>
      </w:r>
      <w:r>
        <w:rPr>
          <w:rFonts w:hint="default"/>
        </w:rPr>
        <w:t>oxidative stress, mitochondrial integrity, and apoptosis in vitro. We utilized the MTT</w:t>
      </w:r>
      <w:r>
        <w:rPr>
          <w:rFonts w:hint="default"/>
          <w:lang w:val="en-US"/>
        </w:rPr>
        <w:t xml:space="preserve"> </w:t>
      </w:r>
      <w:r>
        <w:rPr>
          <w:rFonts w:hint="default"/>
        </w:rPr>
        <w:t>assay to assess cell viability post-PDT treatment, followed by the LDH assay to</w:t>
      </w:r>
      <w:r>
        <w:rPr>
          <w:rFonts w:hint="default"/>
          <w:lang w:val="en-US"/>
        </w:rPr>
        <w:t xml:space="preserve"> </w:t>
      </w:r>
      <w:r>
        <w:rPr>
          <w:rFonts w:hint="default"/>
        </w:rPr>
        <w:t>measure cellular membrane integrity. The ATP assay was employed to evaluate the</w:t>
      </w:r>
      <w:r>
        <w:rPr>
          <w:rFonts w:hint="default"/>
          <w:lang w:val="en-US"/>
        </w:rPr>
        <w:t xml:space="preserve"> </w:t>
      </w:r>
      <w:r>
        <w:rPr>
          <w:rFonts w:hint="default"/>
        </w:rPr>
        <w:t>energy status of cells after PDT, while reactive oxygen species (ROS) production was</w:t>
      </w:r>
      <w:r>
        <w:rPr>
          <w:rFonts w:hint="default"/>
          <w:lang w:val="en-US"/>
        </w:rPr>
        <w:t xml:space="preserve"> </w:t>
      </w:r>
      <w:r>
        <w:rPr>
          <w:rFonts w:hint="default"/>
        </w:rPr>
        <w:t>measured using a ROS assay to assess oxidative stress. Mitochondrial membrane</w:t>
      </w:r>
      <w:r>
        <w:rPr>
          <w:rFonts w:hint="default"/>
          <w:lang w:val="en-US"/>
        </w:rPr>
        <w:t xml:space="preserve"> </w:t>
      </w:r>
      <w:r>
        <w:rPr>
          <w:rFonts w:hint="default"/>
        </w:rPr>
        <w:t>potential was monitored to determine the effects on mitochondrial health. Finally,</w:t>
      </w:r>
      <w:r>
        <w:rPr>
          <w:rFonts w:hint="default"/>
          <w:lang w:val="en-US"/>
        </w:rPr>
        <w:t xml:space="preserve"> </w:t>
      </w:r>
      <w:r>
        <w:rPr>
          <w:rFonts w:hint="default"/>
        </w:rPr>
        <w:t>apoptosis was assessed using annexin V/PI staining and flow cytometry, which</w:t>
      </w:r>
      <w:r>
        <w:rPr>
          <w:rFonts w:hint="default"/>
          <w:lang w:val="en-US"/>
        </w:rPr>
        <w:t xml:space="preserve"> </w:t>
      </w:r>
      <w:r>
        <w:rPr>
          <w:rFonts w:hint="default"/>
        </w:rPr>
        <w:t>allowed for the detection of early and late apoptotic cells. The results revealed that</w:t>
      </w:r>
      <w:r>
        <w:rPr>
          <w:rFonts w:hint="default"/>
          <w:lang w:val="en-US"/>
        </w:rPr>
        <w:t xml:space="preserve"> </w:t>
      </w:r>
      <w:r>
        <w:rPr>
          <w:rFonts w:hint="default"/>
        </w:rPr>
        <w:t>combination therapy with HB and Quer significantly enhanced cytotoxicity compared</w:t>
      </w:r>
      <w:r>
        <w:rPr>
          <w:rFonts w:hint="default"/>
          <w:lang w:val="en-US"/>
        </w:rPr>
        <w:t xml:space="preserve"> </w:t>
      </w:r>
      <w:r>
        <w:rPr>
          <w:rFonts w:hint="default"/>
        </w:rPr>
        <w:t>to individual treatments, as evidenced by a marked decrease in cell viability, elevated</w:t>
      </w:r>
      <w:r>
        <w:rPr>
          <w:rFonts w:hint="default"/>
          <w:lang w:val="en-US"/>
        </w:rPr>
        <w:t xml:space="preserve"> </w:t>
      </w:r>
      <w:r>
        <w:rPr>
          <w:rFonts w:hint="default"/>
        </w:rPr>
        <w:t>ROS production, and loss of mitochondrial membrane potential. Furthermore,</w:t>
      </w:r>
      <w:r>
        <w:rPr>
          <w:rFonts w:hint="default"/>
          <w:lang w:val="en-US"/>
        </w:rPr>
        <w:t xml:space="preserve"> </w:t>
      </w:r>
      <w:r>
        <w:rPr>
          <w:rFonts w:hint="default"/>
        </w:rPr>
        <w:t>combined treatment induced a higher percentage of apoptosis, suggesting a</w:t>
      </w:r>
      <w:r>
        <w:rPr>
          <w:rFonts w:hint="default"/>
          <w:lang w:val="en-US"/>
        </w:rPr>
        <w:t xml:space="preserve"> </w:t>
      </w:r>
      <w:r>
        <w:rPr>
          <w:rFonts w:hint="default"/>
        </w:rPr>
        <w:t>synergistic effect between HB and Quer in enhancing PDT efficacy. These findings</w:t>
      </w:r>
      <w:r>
        <w:rPr>
          <w:rFonts w:hint="default"/>
          <w:lang w:val="en-US"/>
        </w:rPr>
        <w:t xml:space="preserve"> </w:t>
      </w:r>
      <w:r>
        <w:rPr>
          <w:rFonts w:hint="default"/>
        </w:rPr>
        <w:t>highlight the potential of HB and Quer as effective PDT agents for breast cancer</w:t>
      </w:r>
      <w:r>
        <w:rPr>
          <w:rFonts w:hint="default"/>
          <w:lang w:val="en-US"/>
        </w:rPr>
        <w:t xml:space="preserve"> </w:t>
      </w:r>
      <w:r>
        <w:rPr>
          <w:rFonts w:hint="default"/>
        </w:rPr>
        <w:t>therapy, supporting further exploration of their combination in clinical applications</w:t>
      </w:r>
      <w:r>
        <w:t>.</w:t>
      </w:r>
    </w:p>
    <w:p w14:paraId="3C3165FA">
      <w:pPr>
        <w:pStyle w:val="2"/>
        <w:numPr>
          <w:ilvl w:val="0"/>
          <w:numId w:val="0"/>
        </w:numPr>
        <w:ind w:left="57" w:leftChars="0" w:right="57" w:rightChars="0"/>
        <w:rPr>
          <w:rFonts w:hint="default"/>
          <w:lang w:val="en-US"/>
        </w:rPr>
      </w:pPr>
      <w:r>
        <w:rPr>
          <w:rFonts w:hint="default"/>
          <w:lang w:val="en-US"/>
        </w:rPr>
        <w:t>1</w:t>
      </w:r>
      <w:r>
        <w:rPr>
          <w:rFonts w:hint="default"/>
          <w:lang w:val="en-US"/>
        </w:rPr>
        <w:tab/>
      </w:r>
      <w:r>
        <w:t>Introduction</w:t>
      </w:r>
      <w:r>
        <w:rPr>
          <w:rFonts w:hint="default"/>
          <w:lang w:val="en-US"/>
        </w:rPr>
        <w:t xml:space="preserve"> </w:t>
      </w:r>
    </w:p>
    <w:p w14:paraId="014585E9">
      <w:pPr>
        <w:keepNext w:val="0"/>
        <w:keepLines w:val="0"/>
        <w:widowControl/>
        <w:suppressLineNumbers w:val="0"/>
        <w:jc w:val="both"/>
        <w:rPr>
          <w:rFonts w:hint="default" w:ascii="Times New Roman" w:hAnsi="Times New Roman" w:eastAsia="Times New Roman" w:cs="Times New Roman"/>
          <w:szCs w:val="24"/>
          <w:lang w:val="en-US" w:eastAsia="zh-CN" w:bidi="ar-SA"/>
        </w:rPr>
      </w:pPr>
      <w:bookmarkStart w:id="0" w:name="_Hlk202125520"/>
      <w:r>
        <w:rPr>
          <w:rFonts w:hint="default" w:ascii="Times New Roman" w:hAnsi="Times New Roman" w:eastAsia="Times New Roman" w:cs="Times New Roman"/>
          <w:szCs w:val="24"/>
          <w:lang w:val="en-US" w:eastAsia="zh-CN" w:bidi="ar-SA"/>
        </w:rPr>
        <w:t>In 2020, the estimated number of breast cancer cases in Africa was around 187,000, with projections indicating it could rise to 347,000 by 2040. At the same time, an estimate was made of the mortality rate  to be 85,800 in 2020, with projections indicating an increase to 162,000 by 2040 [1]. The increase in both the rates of occurrence and death from breast cancer might be linked with range of risk factor, including alcohol intake, age progression, hormonal effects, genetic vulnerabilities, and harmful lifestyle choices [2]. Conventional cancer treatment modalities include surgery, radiation, chemotherapy, immunotherapy, endocrine therapy, and targeted therapy [3]. Unfortunately, these treatments come with significant disadvantages, such as harmful side effects and toxicities, which limit the administration of dosages [4]. PDT has recently attracted interest as an alternative to standard cancer treatments. PDT effectively destroys cancer cells by using targeted photochemical and/or photothermal mechanisms [5,6].</w:t>
      </w:r>
    </w:p>
    <w:p w14:paraId="6C08F296">
      <w:pPr>
        <w:keepNext w:val="0"/>
        <w:keepLines w:val="0"/>
        <w:widowControl/>
        <w:suppressLineNumbers w:val="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cs="Times New Roman"/>
          <w:szCs w:val="24"/>
          <w:lang w:val="en-US" w:eastAsia="zh-CN" w:bidi="ar-SA"/>
        </w:rPr>
        <w:t xml:space="preserve">Photosensitizers obtained from entirely natural sources have garnered significant interest in the medical field due to their distinctive biological effects, diverse molecular compositions, and minimal toxicity risk [7]. </w:t>
      </w:r>
      <w:bookmarkEnd w:id="0"/>
      <w:r>
        <w:rPr>
          <w:rFonts w:hint="default" w:ascii="Times New Roman" w:hAnsi="Times New Roman" w:eastAsia="Times New Roman" w:cs="Times New Roman"/>
          <w:szCs w:val="24"/>
          <w:lang w:val="en-US" w:eastAsia="zh-CN" w:bidi="ar-SA"/>
        </w:rPr>
        <w:t xml:space="preserve">HB is a naturally occurring pigment derived from perylquinone compounds found in the traditional Chinese herb </w:t>
      </w:r>
      <w:r>
        <w:rPr>
          <w:rFonts w:hint="default" w:ascii="Times New Roman" w:hAnsi="Times New Roman" w:eastAsia="Times New Roman" w:cs="Times New Roman"/>
          <w:i/>
          <w:iCs/>
          <w:szCs w:val="24"/>
          <w:lang w:val="en-US" w:eastAsia="zh-CN" w:bidi="ar-SA"/>
        </w:rPr>
        <w:t>Hypocrella bambuase</w:t>
      </w:r>
      <w:r>
        <w:rPr>
          <w:rFonts w:hint="default" w:ascii="Times New Roman" w:hAnsi="Times New Roman" w:eastAsia="Times New Roman" w:cs="Times New Roman"/>
          <w:szCs w:val="24"/>
          <w:lang w:val="en-US" w:eastAsia="zh-CN" w:bidi="ar-SA"/>
        </w:rPr>
        <w:t xml:space="preserve"> [8]. HB-mediated PDT is a sanctioned and efficacious therapy for cancers such as esophageal, nasopharyngeal, breast, lung, and ovarian. It enhances the sensitivity of human cells to chemicals and radiation due to hypocrellin's role in cell phototoxicity [9]. Quer is a bioflavonoid that is pharmacologically active and safe, found in abundance in onions, apples, broccoli, tomatoes, and citrus fruits [10]. Quer exhibits various therapeutic effects, including antioxidant, anti-inflammatory, antimicrobial, and anticancer properties [11].  Quer is found in nature as either a glycoside or an aglycone, and both forms are biologically active [12]. Its clinical use is restricted, however, due to academics solubility and bioavailability [13]. This study aimed to explore the potential of HB, Quer, their combination, and PDT-mediated treatment to induce apoptosis in MCF-7 cells.</w:t>
      </w:r>
    </w:p>
    <w:p w14:paraId="40279D3F">
      <w:pPr>
        <w:pStyle w:val="2"/>
        <w:numPr>
          <w:ilvl w:val="0"/>
          <w:numId w:val="0"/>
        </w:numPr>
        <w:ind w:left="57" w:leftChars="0" w:right="57" w:rightChars="0"/>
        <w:rPr>
          <w:rFonts w:hint="default"/>
          <w:b/>
          <w:bCs/>
        </w:rPr>
      </w:pPr>
      <w:r>
        <w:rPr>
          <w:rFonts w:hint="default"/>
          <w:lang w:val="en-US"/>
        </w:rPr>
        <w:t>2</w:t>
      </w:r>
      <w:r>
        <w:rPr>
          <w:rFonts w:hint="default"/>
          <w:lang w:val="en-US"/>
        </w:rPr>
        <w:tab/>
      </w:r>
      <w:r>
        <w:rPr>
          <w:rFonts w:hint="default"/>
          <w:b/>
          <w:bCs/>
          <w:lang w:val="en-US"/>
        </w:rPr>
        <w:t xml:space="preserve"> </w:t>
      </w:r>
      <w:r>
        <w:rPr>
          <w:rFonts w:hint="default"/>
          <w:b/>
          <w:bCs/>
        </w:rPr>
        <w:t>Materials and methods</w:t>
      </w:r>
    </w:p>
    <w:p w14:paraId="0F72ED6F">
      <w:pPr>
        <w:pStyle w:val="3"/>
      </w:pPr>
    </w:p>
    <w:p w14:paraId="45E5CF6C">
      <w:pPr>
        <w:ind w:left="0" w:leftChars="0" w:firstLine="0" w:firstLineChars="0"/>
        <w:rPr>
          <w:rFonts w:hint="default"/>
          <w:i/>
          <w:iCs/>
        </w:rPr>
      </w:pPr>
      <w:r>
        <w:rPr>
          <w:rFonts w:hint="default"/>
          <w:i/>
          <w:iCs/>
        </w:rPr>
        <w:t>2.1</w:t>
      </w:r>
      <w:r>
        <w:rPr>
          <w:rFonts w:hint="default"/>
          <w:i/>
          <w:iCs/>
          <w:lang w:val="en-US"/>
        </w:rPr>
        <w:t xml:space="preserve">   </w:t>
      </w:r>
      <w:r>
        <w:rPr>
          <w:rFonts w:hint="default"/>
          <w:i/>
          <w:iCs/>
        </w:rPr>
        <w:t>Materials</w:t>
      </w:r>
    </w:p>
    <w:p w14:paraId="531A5124">
      <w:pPr>
        <w:keepNext w:val="0"/>
        <w:keepLines w:val="0"/>
        <w:widowControl/>
        <w:suppressLineNumbers w:val="0"/>
        <w:jc w:val="both"/>
        <w:rPr>
          <w:rFonts w:hint="default" w:ascii="Times New Roman" w:hAnsi="Times New Roman" w:eastAsia="Times New Roman" w:cs="Times New Roman"/>
          <w:szCs w:val="24"/>
          <w:lang w:val="en-US" w:eastAsia="en-GB" w:bidi="ar-SA"/>
        </w:rPr>
      </w:pPr>
      <w:r>
        <w:rPr>
          <w:rFonts w:hint="default" w:cs="Times New Roman"/>
          <w:color w:val="FFFFFF" w:themeColor="background1"/>
          <w:szCs w:val="24"/>
          <w:lang w:val="en-US" w:eastAsia="zh-CN" w:bidi="ar-SA"/>
          <w14:textFill>
            <w14:solidFill>
              <w14:schemeClr w14:val="bg1"/>
            </w14:solidFill>
          </w14:textFill>
        </w:rPr>
        <w:t>‘</w:t>
      </w:r>
      <w:r>
        <w:rPr>
          <w:rFonts w:hint="default" w:ascii="Times New Roman" w:hAnsi="Times New Roman" w:eastAsia="Times New Roman" w:cs="Times New Roman"/>
          <w:szCs w:val="24"/>
          <w:lang w:val="en-US" w:eastAsia="zh-CN" w:bidi="ar-SA"/>
        </w:rPr>
        <w:t>Fetal bovine serum (FBS), Dulbecco's Modified Eagle Medium (DMEM) medium, Quer, 2–7' dichlorodihydrofluorescein diacetate (H2-DCFDA), rhodamine 123 (Rh 123), Annexin V (AV), propidium iodide (PI), 3-(4,5-dimethylthiazol-2-yl)-2,5-diphenyl tetrazolium bromide (MTT), and penicillin-streptomycin were sourced from Merck Chemicals Co. in South Africa. HB was obtained from Cayman Chemicals (Biocom Africa, Johannesburg, South Africa)</w:t>
      </w:r>
      <w:r>
        <w:rPr>
          <w:rFonts w:hint="default" w:cs="Times New Roman"/>
          <w:szCs w:val="24"/>
          <w:lang w:val="en-US" w:eastAsia="zh-CN" w:bidi="ar-SA"/>
        </w:rPr>
        <w:t>.</w:t>
      </w:r>
      <w:r>
        <w:rPr>
          <w:rFonts w:hint="default" w:cs="Times New Roman"/>
          <w:color w:val="FFFFFF" w:themeColor="background1"/>
          <w:szCs w:val="24"/>
          <w:highlight w:val="none"/>
          <w:lang w:val="en-US" w:eastAsia="zh-CN" w:bidi="ar-SA"/>
          <w14:textFill>
            <w14:solidFill>
              <w14:schemeClr w14:val="bg1"/>
            </w14:solidFill>
          </w14:textFill>
        </w:rPr>
        <w:t>’</w:t>
      </w:r>
    </w:p>
    <w:p w14:paraId="348BF82A">
      <w:pPr>
        <w:ind w:left="0" w:leftChars="0" w:firstLine="0" w:firstLineChars="0"/>
        <w:jc w:val="both"/>
        <w:rPr>
          <w:rFonts w:hint="default"/>
        </w:rPr>
      </w:pPr>
    </w:p>
    <w:p w14:paraId="66A7B8F1">
      <w:pPr>
        <w:ind w:left="0" w:leftChars="0" w:firstLine="0" w:firstLineChars="0"/>
        <w:rPr>
          <w:rFonts w:hint="default"/>
          <w:i/>
          <w:iCs/>
        </w:rPr>
      </w:pPr>
      <w:r>
        <w:rPr>
          <w:rFonts w:hint="default"/>
          <w:i/>
          <w:iCs/>
        </w:rPr>
        <w:t xml:space="preserve">2.2 </w:t>
      </w:r>
      <w:r>
        <w:rPr>
          <w:rFonts w:hint="default"/>
          <w:i/>
          <w:iCs/>
          <w:lang w:val="en-US"/>
        </w:rPr>
        <w:t xml:space="preserve">  </w:t>
      </w:r>
      <w:r>
        <w:rPr>
          <w:rFonts w:hint="default"/>
          <w:i/>
          <w:iCs/>
        </w:rPr>
        <w:t>Cell lines and culturing</w:t>
      </w:r>
    </w:p>
    <w:p w14:paraId="43063983">
      <w:pPr>
        <w:keepNext w:val="0"/>
        <w:keepLines w:val="0"/>
        <w:widowControl/>
        <w:suppressLineNumbers w:val="0"/>
        <w:jc w:val="both"/>
        <w:rPr>
          <w:rFonts w:hint="default" w:ascii="Times New Roman" w:hAnsi="Times New Roman" w:eastAsia="Times New Roman" w:cs="Times New Roman"/>
          <w:szCs w:val="24"/>
          <w:lang w:val="en-ZA" w:eastAsia="en-GB" w:bidi="ar-SA"/>
        </w:rPr>
      </w:pPr>
      <w:r>
        <w:rPr>
          <w:rFonts w:hint="default" w:ascii="Times New Roman" w:hAnsi="Times New Roman" w:eastAsia="Times New Roman" w:cs="Times New Roman"/>
          <w:szCs w:val="24"/>
          <w:lang w:val="en-US" w:eastAsia="zh-CN" w:bidi="ar-SA"/>
        </w:rPr>
        <w:t>The research made use of the MCF7</w:t>
      </w:r>
      <w:r>
        <w:rPr>
          <w:rFonts w:hint="default" w:cs="Times New Roman"/>
          <w:szCs w:val="24"/>
          <w:lang w:val="en-US" w:eastAsia="zh-CN" w:bidi="ar-SA"/>
        </w:rPr>
        <w:t xml:space="preserve"> </w:t>
      </w:r>
      <w:r>
        <w:rPr>
          <w:rFonts w:hint="default" w:cs="Times New Roman"/>
          <w:color w:val="FFFFFF" w:themeColor="background1"/>
          <w:szCs w:val="24"/>
          <w:lang w:val="en-US" w:eastAsia="zh-CN" w:bidi="ar-SA"/>
          <w14:textFill>
            <w14:solidFill>
              <w14:schemeClr w14:val="bg1"/>
            </w14:solidFill>
          </w14:textFill>
        </w:rPr>
        <w:t>‘</w:t>
      </w:r>
      <w:r>
        <w:rPr>
          <w:rFonts w:hint="default" w:ascii="Times New Roman" w:hAnsi="Times New Roman" w:eastAsia="Times New Roman" w:cs="Times New Roman"/>
          <w:szCs w:val="24"/>
          <w:lang w:val="en-US" w:eastAsia="zh-CN" w:bidi="ar-SA"/>
        </w:rPr>
        <w:t>breast cancer cell line obtained from the American Type Culture Collection (ATCC; HTB22), located in Manassas, VA, USA</w:t>
      </w:r>
      <w:r>
        <w:rPr>
          <w:rFonts w:hint="default" w:cs="Times New Roman"/>
          <w:szCs w:val="24"/>
          <w:lang w:val="en-US" w:eastAsia="zh-CN" w:bidi="ar-SA"/>
        </w:rPr>
        <w:t>.</w:t>
      </w:r>
      <w:r>
        <w:rPr>
          <w:rFonts w:hint="default" w:cs="Times New Roman"/>
          <w:color w:val="FFFFFF" w:themeColor="background1"/>
          <w:szCs w:val="24"/>
          <w:lang w:val="en-US" w:eastAsia="zh-CN" w:bidi="ar-SA"/>
          <w14:textFill>
            <w14:solidFill>
              <w14:schemeClr w14:val="bg1"/>
            </w14:solidFill>
          </w14:textFill>
        </w:rPr>
        <w:t>’</w:t>
      </w:r>
      <w:r>
        <w:rPr>
          <w:rFonts w:hint="default" w:ascii="Times New Roman" w:hAnsi="Times New Roman" w:eastAsia="Times New Roman" w:cs="Times New Roman"/>
          <w:szCs w:val="24"/>
          <w:lang w:val="en-US" w:eastAsia="zh-CN" w:bidi="ar-SA"/>
        </w:rPr>
        <w:t xml:space="preserve"> This was authorized by the Research Ethical Committee (REC-2223-2023) at the University of Johannesburg. The cells were cultured as monolayers in DMEM media, enriched </w:t>
      </w:r>
      <w:r>
        <w:rPr>
          <w:rFonts w:hint="default" w:cs="Times New Roman"/>
          <w:color w:val="FFFFFF" w:themeColor="background1"/>
          <w:szCs w:val="24"/>
          <w:lang w:val="en-US" w:eastAsia="zh-CN" w:bidi="ar-SA"/>
          <w14:textFill>
            <w14:solidFill>
              <w14:schemeClr w14:val="bg1"/>
            </w14:solidFill>
          </w14:textFill>
        </w:rPr>
        <w:t>‘</w:t>
      </w:r>
      <w:r>
        <w:rPr>
          <w:rFonts w:hint="default" w:ascii="Times New Roman" w:hAnsi="Times New Roman" w:eastAsia="Times New Roman" w:cs="Times New Roman"/>
          <w:szCs w:val="24"/>
          <w:lang w:val="en-US" w:eastAsia="zh-CN" w:bidi="ar-SA"/>
        </w:rPr>
        <w:t>with 10% FBS and 100 μg/mL penicillin-streptomycin, and maintained at 37°C in a 5% CO</w:t>
      </w:r>
      <w:r>
        <w:rPr>
          <w:rFonts w:hint="default" w:ascii="Times New Roman" w:hAnsi="Times New Roman" w:eastAsia="Times New Roman" w:cs="Times New Roman"/>
          <w:szCs w:val="24"/>
          <w:vertAlign w:val="subscript"/>
          <w:lang w:val="en-US" w:eastAsia="zh-CN" w:bidi="ar-SA"/>
        </w:rPr>
        <w:t>2</w:t>
      </w:r>
      <w:r>
        <w:rPr>
          <w:rFonts w:hint="default" w:ascii="Times New Roman" w:hAnsi="Times New Roman" w:eastAsia="Times New Roman" w:cs="Times New Roman"/>
          <w:szCs w:val="24"/>
          <w:lang w:val="en-US" w:eastAsia="zh-CN" w:bidi="ar-SA"/>
        </w:rPr>
        <w:t xml:space="preserve"> incubator.</w:t>
      </w:r>
      <w:r>
        <w:rPr>
          <w:rFonts w:hint="default" w:cs="Times New Roman"/>
          <w:color w:val="FFFFFF" w:themeColor="background1"/>
          <w:szCs w:val="24"/>
          <w:lang w:val="en-US" w:eastAsia="zh-CN" w:bidi="ar-SA"/>
          <w14:textFill>
            <w14:solidFill>
              <w14:schemeClr w14:val="bg1"/>
            </w14:solidFill>
          </w14:textFill>
        </w:rPr>
        <w:t>’</w:t>
      </w:r>
      <w:r>
        <w:rPr>
          <w:rFonts w:hint="default" w:ascii="Times New Roman" w:hAnsi="Times New Roman" w:eastAsia="Times New Roman" w:cs="Times New Roman"/>
          <w:szCs w:val="24"/>
          <w:lang w:val="en-US" w:eastAsia="zh-CN" w:bidi="ar-SA"/>
        </w:rPr>
        <w:t xml:space="preserve"> Three biological replicates were used with a seeding concentration of 1 × 10^4 cells/well between passage numbers 5 and 10. Before treatment, the cells were cultured for 24 hours to achieve 70–80% confluency.</w:t>
      </w:r>
    </w:p>
    <w:p w14:paraId="727335AD">
      <w:pPr>
        <w:ind w:left="0" w:leftChars="0" w:firstLine="0" w:firstLineChars="0"/>
        <w:rPr>
          <w:rFonts w:hint="default"/>
        </w:rPr>
      </w:pPr>
    </w:p>
    <w:p w14:paraId="1B03C474">
      <w:pPr>
        <w:ind w:left="0" w:leftChars="0" w:firstLine="0" w:firstLineChars="0"/>
        <w:rPr>
          <w:rFonts w:hint="default"/>
          <w:i/>
          <w:iCs/>
        </w:rPr>
      </w:pPr>
      <w:r>
        <w:rPr>
          <w:rFonts w:hint="default"/>
          <w:i/>
          <w:iCs/>
        </w:rPr>
        <w:t>2.</w:t>
      </w:r>
      <w:r>
        <w:rPr>
          <w:rFonts w:hint="default"/>
          <w:i/>
          <w:iCs/>
          <w:lang w:val="en-US"/>
        </w:rPr>
        <w:t>3</w:t>
      </w:r>
      <w:r>
        <w:rPr>
          <w:rFonts w:hint="default"/>
          <w:i/>
          <w:iCs/>
        </w:rPr>
        <w:t xml:space="preserve"> </w:t>
      </w:r>
      <w:r>
        <w:rPr>
          <w:rFonts w:hint="default"/>
          <w:i/>
          <w:iCs/>
          <w:lang w:val="en-US"/>
        </w:rPr>
        <w:t xml:space="preserve">  </w:t>
      </w:r>
      <w:r>
        <w:rPr>
          <w:rFonts w:hint="default"/>
          <w:i/>
          <w:iCs/>
        </w:rPr>
        <w:t>Irradiation by laser light</w:t>
      </w:r>
    </w:p>
    <w:p w14:paraId="5FEB7504">
      <w:pPr>
        <w:keepNext w:val="0"/>
        <w:keepLines w:val="0"/>
        <w:widowControl/>
        <w:suppressLineNumbers w:val="0"/>
        <w:jc w:val="both"/>
        <w:rPr>
          <w:rFonts w:hint="default"/>
        </w:rPr>
      </w:pPr>
      <w:r>
        <w:rPr>
          <w:rFonts w:hint="default"/>
        </w:rPr>
        <w:t>A</w:t>
      </w:r>
      <w:r>
        <w:rPr>
          <w:rFonts w:hint="default" w:ascii="Times New Roman" w:hAnsi="Times New Roman" w:eastAsia="Times New Roman" w:cs="Times New Roman"/>
          <w:szCs w:val="24"/>
          <w:lang w:val="en-ZA" w:eastAsia="en-GB" w:bidi="ar-SA"/>
        </w:rPr>
        <w:t xml:space="preserve">fter incubation, </w:t>
      </w:r>
      <w:r>
        <w:rPr>
          <w:rFonts w:hint="default" w:ascii="Times New Roman" w:hAnsi="Times New Roman" w:eastAsia="Times New Roman" w:cs="Times New Roman"/>
          <w:szCs w:val="24"/>
          <w:lang w:val="en-US" w:eastAsia="en-GB" w:bidi="ar-SA"/>
        </w:rPr>
        <w:t xml:space="preserve">washed </w:t>
      </w:r>
      <w:r>
        <w:rPr>
          <w:rFonts w:hint="default" w:ascii="Times New Roman" w:hAnsi="Times New Roman" w:eastAsia="Times New Roman" w:cs="Times New Roman"/>
          <w:szCs w:val="24"/>
          <w:lang w:val="en-ZA" w:eastAsia="en-GB" w:bidi="ar-SA"/>
        </w:rPr>
        <w:t>HB</w:t>
      </w:r>
      <w:r>
        <w:rPr>
          <w:rFonts w:hint="default" w:ascii="Times New Roman" w:hAnsi="Times New Roman" w:eastAsia="Times New Roman" w:cs="Times New Roman"/>
          <w:szCs w:val="24"/>
          <w:lang w:val="en-US" w:eastAsia="en-GB" w:bidi="ar-SA"/>
        </w:rPr>
        <w:t>-</w:t>
      </w:r>
      <w:r>
        <w:rPr>
          <w:rFonts w:hint="default" w:ascii="Times New Roman" w:hAnsi="Times New Roman" w:eastAsia="Times New Roman" w:cs="Times New Roman"/>
          <w:szCs w:val="24"/>
          <w:lang w:val="en-ZA" w:eastAsia="en-GB" w:bidi="ar-SA"/>
        </w:rPr>
        <w:t>PDT</w:t>
      </w:r>
      <w:r>
        <w:rPr>
          <w:rFonts w:hint="default" w:ascii="Times New Roman" w:hAnsi="Times New Roman" w:eastAsia="Times New Roman" w:cs="Times New Roman"/>
          <w:szCs w:val="24"/>
          <w:lang w:val="en-US" w:eastAsia="en-GB" w:bidi="ar-SA"/>
        </w:rPr>
        <w:t xml:space="preserve"> </w:t>
      </w:r>
      <w:r>
        <w:rPr>
          <w:rFonts w:hint="default" w:ascii="Times New Roman" w:hAnsi="Times New Roman" w:eastAsia="Times New Roman" w:cs="Times New Roman"/>
          <w:szCs w:val="24"/>
          <w:lang w:val="en-US" w:eastAsia="zh-CN" w:bidi="ar-SA"/>
        </w:rPr>
        <w:t>treated cells and exposed them to</w:t>
      </w:r>
      <w:r>
        <w:rPr>
          <w:rFonts w:hint="default" w:ascii="Times New Roman" w:hAnsi="Times New Roman" w:eastAsia="Times New Roman" w:cs="Times New Roman"/>
          <w:szCs w:val="24"/>
          <w:lang w:val="en-ZA" w:eastAsia="en-GB" w:bidi="ar-SA"/>
        </w:rPr>
        <w:t xml:space="preserve"> 470 nm laser (97 mW) for 62</w:t>
      </w:r>
      <w:r>
        <w:rPr>
          <w:rFonts w:hint="default" w:ascii="Times New Roman" w:hAnsi="Times New Roman" w:eastAsia="Times New Roman" w:cs="Times New Roman"/>
          <w:szCs w:val="24"/>
          <w:lang w:val="en-US" w:eastAsia="en-GB" w:bidi="ar-SA"/>
        </w:rPr>
        <w:t xml:space="preserve"> </w:t>
      </w:r>
      <w:r>
        <w:rPr>
          <w:rFonts w:hint="default" w:ascii="Times New Roman" w:hAnsi="Times New Roman" w:eastAsia="Times New Roman" w:cs="Times New Roman"/>
          <w:szCs w:val="24"/>
          <w:lang w:val="en-ZA" w:eastAsia="en-GB" w:bidi="ar-SA"/>
        </w:rPr>
        <w:t>second</w:t>
      </w:r>
      <w:r>
        <w:rPr>
          <w:rFonts w:hint="default"/>
        </w:rPr>
        <w:t>s at 5 J/cm</w:t>
      </w:r>
      <w:r>
        <w:rPr>
          <w:rFonts w:hint="default"/>
          <w:vertAlign w:val="superscript"/>
        </w:rPr>
        <w:t>2</w:t>
      </w:r>
      <w:r>
        <w:rPr>
          <w:rFonts w:hint="default"/>
          <w:lang w:val="en-US"/>
        </w:rPr>
        <w:t xml:space="preserve"> and washed Quer-</w:t>
      </w:r>
      <w:r>
        <w:rPr>
          <w:rFonts w:hint="default"/>
        </w:rPr>
        <w:t>PDT</w:t>
      </w:r>
      <w:r>
        <w:rPr>
          <w:rFonts w:hint="default"/>
          <w:lang w:val="en-US"/>
        </w:rPr>
        <w:t xml:space="preserve"> </w:t>
      </w:r>
      <w:r>
        <w:rPr>
          <w:rFonts w:hint="default" w:ascii="Times New Roman" w:hAnsi="Times New Roman" w:eastAsia="Times New Roman" w:cs="Times New Roman"/>
          <w:szCs w:val="24"/>
          <w:lang w:val="en-US" w:eastAsia="zh-CN" w:bidi="ar-SA"/>
        </w:rPr>
        <w:t xml:space="preserve">treated cells and exposed them to </w:t>
      </w:r>
      <w:r>
        <w:rPr>
          <w:rFonts w:hint="default"/>
        </w:rPr>
        <w:t>4</w:t>
      </w:r>
      <w:r>
        <w:rPr>
          <w:rFonts w:hint="default"/>
          <w:lang w:val="en-US"/>
        </w:rPr>
        <w:t>05</w:t>
      </w:r>
      <w:r>
        <w:rPr>
          <w:rFonts w:hint="default"/>
        </w:rPr>
        <w:t xml:space="preserve"> nm laser (97 mW) for </w:t>
      </w:r>
      <w:r>
        <w:rPr>
          <w:rFonts w:hint="default"/>
          <w:lang w:val="en-US"/>
        </w:rPr>
        <w:t xml:space="preserve">93 </w:t>
      </w:r>
      <w:r>
        <w:rPr>
          <w:rFonts w:hint="default"/>
        </w:rPr>
        <w:t>seconds at 5 J/cm</w:t>
      </w:r>
      <w:r>
        <w:rPr>
          <w:rFonts w:hint="default"/>
          <w:vertAlign w:val="superscript"/>
        </w:rPr>
        <w:t>2</w:t>
      </w:r>
      <w:r>
        <w:rPr>
          <w:rFonts w:hint="default"/>
        </w:rPr>
        <w:t xml:space="preserve">. Subsequently, the medium was replace with 2 mL of </w:t>
      </w:r>
      <w:r>
        <w:rPr>
          <w:rFonts w:hint="default"/>
          <w:lang w:val="en-US"/>
        </w:rPr>
        <w:t xml:space="preserve">DMEM </w:t>
      </w:r>
      <w:r>
        <w:rPr>
          <w:rFonts w:hint="default"/>
        </w:rPr>
        <w:t xml:space="preserve"> medium for further treatment.</w:t>
      </w:r>
    </w:p>
    <w:p w14:paraId="2AE08051">
      <w:pPr>
        <w:ind w:left="0" w:leftChars="0" w:firstLine="0" w:firstLineChars="0"/>
        <w:rPr>
          <w:rFonts w:hint="default"/>
          <w:i/>
          <w:iCs/>
        </w:rPr>
      </w:pPr>
    </w:p>
    <w:p w14:paraId="5D545EDD">
      <w:pPr>
        <w:ind w:left="0" w:leftChars="0" w:firstLine="0" w:firstLineChars="0"/>
        <w:rPr>
          <w:rFonts w:hint="default"/>
          <w:i/>
          <w:iCs/>
        </w:rPr>
      </w:pPr>
      <w:r>
        <w:rPr>
          <w:rFonts w:hint="default"/>
          <w:i/>
          <w:iCs/>
        </w:rPr>
        <w:t>2.</w:t>
      </w:r>
      <w:r>
        <w:rPr>
          <w:rFonts w:hint="default"/>
          <w:i/>
          <w:iCs/>
          <w:lang w:val="en-US"/>
        </w:rPr>
        <w:t>4</w:t>
      </w:r>
      <w:r>
        <w:rPr>
          <w:rFonts w:hint="default"/>
          <w:i/>
          <w:iCs/>
        </w:rPr>
        <w:t xml:space="preserve"> </w:t>
      </w:r>
      <w:r>
        <w:rPr>
          <w:rFonts w:hint="default"/>
          <w:i/>
          <w:iCs/>
          <w:lang w:val="en-US"/>
        </w:rPr>
        <w:t xml:space="preserve">  </w:t>
      </w:r>
      <w:r>
        <w:rPr>
          <w:rFonts w:hint="default"/>
          <w:i/>
          <w:iCs/>
        </w:rPr>
        <w:t>Drug treatment and dosage determination study</w:t>
      </w:r>
    </w:p>
    <w:p w14:paraId="101A6723">
      <w:pPr>
        <w:ind w:left="0" w:leftChars="0" w:firstLine="0" w:firstLineChars="0"/>
        <w:jc w:val="both"/>
        <w:rPr>
          <w:rFonts w:hint="default"/>
        </w:rPr>
      </w:pPr>
      <w:r>
        <w:rPr>
          <w:rFonts w:hint="default"/>
          <w:lang w:val="en-US"/>
        </w:rPr>
        <w:t>MCF7</w:t>
      </w:r>
      <w:r>
        <w:rPr>
          <w:rFonts w:hint="default"/>
        </w:rPr>
        <w:t xml:space="preserve"> cells were </w:t>
      </w:r>
      <w:r>
        <w:rPr>
          <w:rFonts w:hint="default"/>
          <w:lang w:val="en-US"/>
        </w:rPr>
        <w:t>treated with</w:t>
      </w:r>
      <w:r>
        <w:rPr>
          <w:rFonts w:hint="default"/>
        </w:rPr>
        <w:t xml:space="preserve"> varying concentration of HB </w:t>
      </w:r>
      <w:r>
        <w:rPr>
          <w:rFonts w:hint="default"/>
          <w:color w:val="FFFFFF" w:themeColor="background1"/>
          <w:lang w:val="en-US"/>
          <w14:textFill>
            <w14:solidFill>
              <w14:schemeClr w14:val="bg1"/>
            </w14:solidFill>
          </w14:textFill>
        </w:rPr>
        <w:t>‘</w:t>
      </w:r>
      <w:r>
        <w:rPr>
          <w:rFonts w:hint="default"/>
        </w:rPr>
        <w:t>(10, 20, 40, 80, and 100 ng/m</w:t>
      </w:r>
      <w:r>
        <w:rPr>
          <w:rFonts w:hint="default"/>
          <w:lang w:val="en-US"/>
        </w:rPr>
        <w:t>l</w:t>
      </w:r>
      <w:r>
        <w:rPr>
          <w:rFonts w:hint="default"/>
        </w:rPr>
        <w:t>)</w:t>
      </w:r>
      <w:r>
        <w:rPr>
          <w:rFonts w:hint="default"/>
          <w:color w:val="FFFFFF" w:themeColor="background1"/>
          <w:lang w:val="en-US"/>
          <w14:textFill>
            <w14:solidFill>
              <w14:schemeClr w14:val="bg1"/>
            </w14:solidFill>
          </w14:textFill>
        </w:rPr>
        <w:t>’</w:t>
      </w:r>
      <w:r>
        <w:rPr>
          <w:rFonts w:hint="default"/>
          <w:lang w:val="en-US"/>
        </w:rPr>
        <w:t xml:space="preserve"> and Quer </w:t>
      </w:r>
      <w:r>
        <w:rPr>
          <w:rFonts w:hint="default"/>
        </w:rPr>
        <w:t>(</w:t>
      </w:r>
      <w:r>
        <w:rPr>
          <w:rFonts w:hint="default"/>
          <w:lang w:val="en-US"/>
        </w:rPr>
        <w:t>25</w:t>
      </w:r>
      <w:r>
        <w:rPr>
          <w:rFonts w:hint="default"/>
        </w:rPr>
        <w:t xml:space="preserve">, </w:t>
      </w:r>
      <w:r>
        <w:rPr>
          <w:rFonts w:hint="default"/>
          <w:lang w:val="en-US"/>
        </w:rPr>
        <w:t>5</w:t>
      </w:r>
      <w:r>
        <w:rPr>
          <w:rFonts w:hint="default"/>
        </w:rPr>
        <w:t xml:space="preserve">0, </w:t>
      </w:r>
      <w:r>
        <w:rPr>
          <w:rFonts w:hint="default"/>
          <w:lang w:val="en-US"/>
        </w:rPr>
        <w:t>100</w:t>
      </w:r>
      <w:r>
        <w:rPr>
          <w:rFonts w:hint="default"/>
        </w:rPr>
        <w:t xml:space="preserve">, </w:t>
      </w:r>
      <w:r>
        <w:rPr>
          <w:rFonts w:hint="default"/>
          <w:lang w:val="en-US"/>
        </w:rPr>
        <w:t>250</w:t>
      </w:r>
      <w:r>
        <w:rPr>
          <w:rFonts w:hint="default"/>
        </w:rPr>
        <w:t xml:space="preserve">, and </w:t>
      </w:r>
      <w:r>
        <w:rPr>
          <w:rFonts w:hint="default"/>
          <w:lang w:val="en-US"/>
        </w:rPr>
        <w:t>5</w:t>
      </w:r>
      <w:r>
        <w:rPr>
          <w:rFonts w:hint="default"/>
        </w:rPr>
        <w:t xml:space="preserve">00 </w:t>
      </w:r>
      <w:r>
        <w:rPr>
          <w:rFonts w:hint="eastAsia"/>
        </w:rPr>
        <w:t>μ</w:t>
      </w:r>
      <w:r>
        <w:rPr>
          <w:rFonts w:hint="default"/>
          <w:lang w:val="en-US"/>
        </w:rPr>
        <w:t>M</w:t>
      </w:r>
      <w:r>
        <w:rPr>
          <w:rFonts w:hint="default"/>
        </w:rPr>
        <w:t>). Initial</w:t>
      </w:r>
      <w:r>
        <w:rPr>
          <w:rFonts w:hint="default"/>
          <w:lang w:val="en-US"/>
        </w:rPr>
        <w:t xml:space="preserve"> </w:t>
      </w:r>
      <w:r>
        <w:rPr>
          <w:rFonts w:hint="default"/>
        </w:rPr>
        <w:t>experiments involving laser irradiation were conducted to determine the non-toxic dose of HB</w:t>
      </w:r>
      <w:r>
        <w:rPr>
          <w:rFonts w:hint="default"/>
          <w:lang w:val="en-US"/>
        </w:rPr>
        <w:t>, Quer, combinations, and their-</w:t>
      </w:r>
      <w:r>
        <w:rPr>
          <w:rFonts w:hint="default"/>
        </w:rPr>
        <w:t>PDT for</w:t>
      </w:r>
      <w:r>
        <w:rPr>
          <w:rFonts w:hint="default"/>
          <w:lang w:val="en-US"/>
        </w:rPr>
        <w:t xml:space="preserve"> </w:t>
      </w:r>
      <w:r>
        <w:rPr>
          <w:rFonts w:hint="default"/>
        </w:rPr>
        <w:t>evaluating its effects. The cells were then cultured for 24 hours in a 5% CO</w:t>
      </w:r>
      <w:r>
        <w:rPr>
          <w:rFonts w:hint="default"/>
          <w:vertAlign w:val="subscript"/>
        </w:rPr>
        <w:t>2</w:t>
      </w:r>
      <w:r>
        <w:rPr>
          <w:rFonts w:hint="default"/>
        </w:rPr>
        <w:t xml:space="preserve"> environment. Cell</w:t>
      </w:r>
      <w:r>
        <w:rPr>
          <w:rFonts w:hint="default"/>
          <w:lang w:val="en-US"/>
        </w:rPr>
        <w:t xml:space="preserve"> </w:t>
      </w:r>
      <w:r>
        <w:rPr>
          <w:rFonts w:hint="default"/>
        </w:rPr>
        <w:t xml:space="preserve">viability was </w:t>
      </w:r>
      <w:r>
        <w:rPr>
          <w:rFonts w:hint="default"/>
          <w:lang w:val="en-US"/>
        </w:rPr>
        <w:t>estimat</w:t>
      </w:r>
      <w:r>
        <w:rPr>
          <w:rFonts w:hint="default"/>
        </w:rPr>
        <w:t xml:space="preserve">ed </w:t>
      </w:r>
      <w:r>
        <w:rPr>
          <w:rFonts w:hint="default"/>
          <w:lang w:val="en-US"/>
        </w:rPr>
        <w:t xml:space="preserve">by </w:t>
      </w:r>
      <w:r>
        <w:rPr>
          <w:rFonts w:hint="default"/>
        </w:rPr>
        <w:t>using</w:t>
      </w:r>
      <w:r>
        <w:rPr>
          <w:rFonts w:hint="default"/>
          <w:lang w:val="en-US"/>
        </w:rPr>
        <w:t xml:space="preserve"> </w:t>
      </w:r>
      <w:r>
        <w:rPr>
          <w:rFonts w:hint="default"/>
        </w:rPr>
        <w:t>MTT assay, with measurements obtained using a PerkinElmer</w:t>
      </w:r>
      <w:r>
        <w:rPr>
          <w:rFonts w:hint="default"/>
          <w:lang w:val="en-US"/>
        </w:rPr>
        <w:t xml:space="preserve"> </w:t>
      </w:r>
      <w:r>
        <w:rPr>
          <w:rFonts w:hint="default"/>
        </w:rPr>
        <w:t>VICTOR NivoTM plate reader [1</w:t>
      </w:r>
      <w:r>
        <w:rPr>
          <w:rFonts w:hint="default"/>
          <w:lang w:val="en-US"/>
        </w:rPr>
        <w:t>4</w:t>
      </w:r>
      <w:r>
        <w:rPr>
          <w:rFonts w:hint="default"/>
        </w:rPr>
        <w:t>]. Subsequently, IC50 values were determined, and the most effective</w:t>
      </w:r>
      <w:r>
        <w:rPr>
          <w:rFonts w:hint="default"/>
          <w:lang w:val="en-US"/>
        </w:rPr>
        <w:t xml:space="preserve"> </w:t>
      </w:r>
      <w:r>
        <w:rPr>
          <w:rFonts w:hint="default"/>
        </w:rPr>
        <w:t>dose</w:t>
      </w:r>
      <w:r>
        <w:rPr>
          <w:rFonts w:hint="default"/>
          <w:lang w:val="en-US"/>
        </w:rPr>
        <w:t>s</w:t>
      </w:r>
      <w:r>
        <w:rPr>
          <w:rFonts w:hint="default"/>
        </w:rPr>
        <w:t xml:space="preserve"> w</w:t>
      </w:r>
      <w:r>
        <w:rPr>
          <w:rFonts w:hint="default"/>
          <w:lang w:val="en-US"/>
        </w:rPr>
        <w:t>ere</w:t>
      </w:r>
      <w:r>
        <w:rPr>
          <w:rFonts w:hint="default"/>
        </w:rPr>
        <w:t xml:space="preserve"> selected for subsequent investigations.</w:t>
      </w:r>
    </w:p>
    <w:p w14:paraId="17F2E158">
      <w:pPr>
        <w:ind w:left="0" w:leftChars="0" w:firstLine="0" w:firstLineChars="0"/>
        <w:rPr>
          <w:rFonts w:hint="default"/>
        </w:rPr>
      </w:pPr>
    </w:p>
    <w:p w14:paraId="7BD0A50D">
      <w:pPr>
        <w:ind w:left="0" w:leftChars="0" w:firstLine="0" w:firstLineChars="0"/>
        <w:rPr>
          <w:rFonts w:hint="default"/>
          <w:i/>
          <w:iCs/>
        </w:rPr>
      </w:pPr>
      <w:r>
        <w:rPr>
          <w:rFonts w:hint="default"/>
          <w:i/>
          <w:iCs/>
        </w:rPr>
        <w:t xml:space="preserve">2.5 </w:t>
      </w:r>
      <w:r>
        <w:rPr>
          <w:rFonts w:hint="default"/>
          <w:i/>
          <w:iCs/>
          <w:lang w:val="en-US"/>
        </w:rPr>
        <w:t xml:space="preserve">  </w:t>
      </w:r>
      <w:r>
        <w:rPr>
          <w:rFonts w:hint="default"/>
          <w:i/>
          <w:iCs/>
        </w:rPr>
        <w:t>Lactate dehydrogenase cytotoxicity assay</w:t>
      </w:r>
    </w:p>
    <w:p w14:paraId="50B6D0B6">
      <w:pPr>
        <w:ind w:left="0" w:leftChars="0" w:firstLine="0" w:firstLineChars="0"/>
        <w:jc w:val="both"/>
        <w:rPr>
          <w:rFonts w:hint="default"/>
          <w:lang w:val="en-US"/>
        </w:rPr>
      </w:pPr>
      <w:r>
        <w:rPr>
          <w:rFonts w:hint="default"/>
        </w:rPr>
        <w:t xml:space="preserve">Lactate dehydrogenase (LDH) efflux from damaged </w:t>
      </w:r>
      <w:r>
        <w:rPr>
          <w:rFonts w:hint="default"/>
          <w:lang w:val="en-US"/>
        </w:rPr>
        <w:t>MCF7</w:t>
      </w:r>
      <w:r>
        <w:rPr>
          <w:rFonts w:hint="default"/>
        </w:rPr>
        <w:t xml:space="preserve"> cells w</w:t>
      </w:r>
      <w:r>
        <w:rPr>
          <w:rFonts w:hint="default"/>
          <w:lang w:val="en-US"/>
        </w:rPr>
        <w:t>ere</w:t>
      </w:r>
      <w:r>
        <w:rPr>
          <w:rFonts w:hint="default"/>
        </w:rPr>
        <w:t xml:space="preserve"> used to </w:t>
      </w:r>
      <w:r>
        <w:rPr>
          <w:rFonts w:hint="default"/>
          <w:lang w:val="en-US"/>
        </w:rPr>
        <w:t>determine</w:t>
      </w:r>
      <w:r>
        <w:rPr>
          <w:rFonts w:hint="default"/>
        </w:rPr>
        <w:t xml:space="preserve"> the integrity of</w:t>
      </w:r>
      <w:r>
        <w:rPr>
          <w:rFonts w:hint="default"/>
          <w:lang w:val="en-US"/>
        </w:rPr>
        <w:t xml:space="preserve"> </w:t>
      </w:r>
      <w:r>
        <w:rPr>
          <w:rFonts w:hint="default"/>
        </w:rPr>
        <w:t>the cell membrane in these cells.</w:t>
      </w:r>
      <w:r>
        <w:rPr>
          <w:rFonts w:hint="default"/>
          <w:color w:val="FFFFFF" w:themeColor="background1"/>
          <w14:textFill>
            <w14:solidFill>
              <w14:schemeClr w14:val="bg1"/>
            </w14:solidFill>
          </w14:textFill>
        </w:rPr>
        <w:t xml:space="preserve"> </w:t>
      </w:r>
      <w:r>
        <w:rPr>
          <w:rFonts w:hint="default"/>
          <w:color w:val="FFFFFF" w:themeColor="background1"/>
          <w:lang w:val="en-US"/>
          <w14:textFill>
            <w14:solidFill>
              <w14:schemeClr w14:val="bg1"/>
            </w14:solidFill>
          </w14:textFill>
        </w:rPr>
        <w:t>‘</w:t>
      </w:r>
      <w:r>
        <w:rPr>
          <w:rFonts w:hint="default"/>
        </w:rPr>
        <w:t>The CytoTox 96® Non-Radioactive Cytotoxicity test (G1780,</w:t>
      </w:r>
      <w:r>
        <w:rPr>
          <w:rFonts w:hint="default"/>
          <w:lang w:val="en-US"/>
        </w:rPr>
        <w:t xml:space="preserve"> </w:t>
      </w:r>
      <w:r>
        <w:rPr>
          <w:rFonts w:hint="default"/>
        </w:rPr>
        <w:t>Promega)</w:t>
      </w:r>
      <w:r>
        <w:rPr>
          <w:rFonts w:hint="default"/>
          <w:color w:val="FFFFFF" w:themeColor="background1"/>
          <w:lang w:val="en-US"/>
          <w14:textFill>
            <w14:solidFill>
              <w14:schemeClr w14:val="bg1"/>
            </w14:solidFill>
          </w14:textFill>
        </w:rPr>
        <w:t>’</w:t>
      </w:r>
      <w:r>
        <w:rPr>
          <w:rFonts w:hint="default"/>
        </w:rPr>
        <w:t xml:space="preserve"> was utilized to assess the cytotoxicity of LDH. To summarize, equal amounts of the</w:t>
      </w:r>
      <w:r>
        <w:rPr>
          <w:rFonts w:hint="default"/>
          <w:lang w:val="en-US"/>
        </w:rPr>
        <w:t xml:space="preserve"> </w:t>
      </w:r>
      <w:r>
        <w:rPr>
          <w:rFonts w:hint="default"/>
        </w:rPr>
        <w:t>reconstituted reagent and cell culture media (50 μL each) were put into a 96-well plate, and HB</w:t>
      </w:r>
      <w:r>
        <w:rPr>
          <w:rFonts w:hint="default"/>
          <w:lang w:val="en-US"/>
        </w:rPr>
        <w:t>, Quer, combinations, and their-</w:t>
      </w:r>
      <w:r>
        <w:rPr>
          <w:rFonts w:hint="default"/>
        </w:rPr>
        <w:t>PDT</w:t>
      </w:r>
      <w:r>
        <w:rPr>
          <w:rFonts w:hint="default"/>
          <w:lang w:val="en-US"/>
        </w:rPr>
        <w:t xml:space="preserve"> were allowed to incubate for 30 minutes at 37°C. A plate reader manufactured by PerkinElmer VICTOR NivoTM was used to measure the absorbance at 490 nm [15].</w:t>
      </w:r>
    </w:p>
    <w:p w14:paraId="52F783D7">
      <w:pPr>
        <w:ind w:left="0" w:leftChars="0" w:firstLine="0" w:firstLineChars="0"/>
        <w:jc w:val="both"/>
        <w:rPr>
          <w:rFonts w:hint="default"/>
          <w:lang w:val="en-US"/>
        </w:rPr>
      </w:pPr>
    </w:p>
    <w:p w14:paraId="7587995A">
      <w:pPr>
        <w:ind w:left="0" w:leftChars="0" w:firstLine="0" w:firstLineChars="0"/>
        <w:jc w:val="both"/>
        <w:rPr>
          <w:rFonts w:hint="default"/>
          <w:i/>
          <w:iCs/>
          <w:lang w:val="en-US"/>
        </w:rPr>
      </w:pPr>
      <w:r>
        <w:rPr>
          <w:rFonts w:hint="default"/>
          <w:i/>
          <w:iCs/>
          <w:lang w:val="en-US"/>
        </w:rPr>
        <w:t>2.6   ATP cell proliferation assay</w:t>
      </w:r>
    </w:p>
    <w:p w14:paraId="0632ABBC">
      <w:pPr>
        <w:ind w:left="0" w:leftChars="0" w:firstLine="0" w:firstLineChars="0"/>
        <w:jc w:val="both"/>
        <w:rPr>
          <w:rFonts w:hint="default"/>
          <w:lang w:val="en-US"/>
        </w:rPr>
      </w:pPr>
      <w:r>
        <w:rPr>
          <w:rFonts w:hint="default"/>
          <w:lang w:val="en-US"/>
        </w:rPr>
        <w:t xml:space="preserve">Cell proliferation was assessed through adenosine triphosphate (ATP) levels utilized CellTiter-Glo® 3D luminescence assay (G968, Promega). In brief, for </w:t>
      </w:r>
      <w:r>
        <w:rPr>
          <w:rFonts w:hint="default"/>
        </w:rPr>
        <w:t>HB</w:t>
      </w:r>
      <w:r>
        <w:rPr>
          <w:rFonts w:hint="default"/>
          <w:lang w:val="en-US"/>
        </w:rPr>
        <w:t>, Quer, combinations, and their-</w:t>
      </w:r>
      <w:r>
        <w:rPr>
          <w:rFonts w:hint="default"/>
        </w:rPr>
        <w:t>PDT</w:t>
      </w:r>
      <w:r>
        <w:rPr>
          <w:rFonts w:hint="default"/>
          <w:lang w:val="en-US"/>
        </w:rPr>
        <w:t>, 50 μL of cell suspension and 50 μL of CellTiter-Glo® 3D reagent was added to a 96-well plate, well mixed, and then incubated at 37°C for 10 minutes in the dark. ATP luminescence was assessed with the VICTOR NivoTM plate reader by PerkinElmer [16].</w:t>
      </w:r>
    </w:p>
    <w:p w14:paraId="377AABC2">
      <w:pPr>
        <w:ind w:left="0" w:leftChars="0" w:firstLine="0" w:firstLineChars="0"/>
        <w:jc w:val="both"/>
        <w:rPr>
          <w:rFonts w:hint="default"/>
          <w:lang w:val="en-US"/>
        </w:rPr>
      </w:pPr>
    </w:p>
    <w:p w14:paraId="25976B1B">
      <w:pPr>
        <w:ind w:left="0" w:leftChars="0" w:firstLine="0" w:firstLineChars="0"/>
        <w:jc w:val="both"/>
        <w:rPr>
          <w:rFonts w:hint="default"/>
          <w:i/>
          <w:iCs/>
          <w:lang w:val="en-US"/>
        </w:rPr>
      </w:pPr>
      <w:r>
        <w:rPr>
          <w:rFonts w:hint="default"/>
          <w:i/>
          <w:iCs/>
          <w:lang w:val="en-US"/>
        </w:rPr>
        <w:t>2.7   Intracellular ROS Level Assessment</w:t>
      </w:r>
    </w:p>
    <w:p w14:paraId="53D2BBB8">
      <w:pPr>
        <w:ind w:left="0" w:leftChars="0" w:firstLine="0" w:firstLineChars="0"/>
        <w:jc w:val="both"/>
        <w:rPr>
          <w:rFonts w:hint="default"/>
          <w:lang w:val="en-US"/>
        </w:rPr>
      </w:pPr>
      <w:r>
        <w:rPr>
          <w:rFonts w:hint="default"/>
          <w:lang w:val="en-US"/>
        </w:rPr>
        <w:t xml:space="preserve">Intracellular ROS levels in MCF7 cells post-treatment were assessed as per previous methods [17]. Briefly, DCFH-DA dye was used to incubate the cells that is converted to DCFH upon uptake and subsequently oxidized to measurable dichlorofluorescein. Cells were treated with </w:t>
      </w:r>
      <w:r>
        <w:rPr>
          <w:rFonts w:hint="default"/>
        </w:rPr>
        <w:t>HB</w:t>
      </w:r>
      <w:r>
        <w:rPr>
          <w:rFonts w:hint="default"/>
          <w:lang w:val="en-US"/>
        </w:rPr>
        <w:t>, Quer, combinations, and their-</w:t>
      </w:r>
      <w:r>
        <w:rPr>
          <w:rFonts w:hint="default"/>
        </w:rPr>
        <w:t>PDT</w:t>
      </w:r>
      <w:r>
        <w:rPr>
          <w:rFonts w:hint="default"/>
          <w:lang w:val="en-US"/>
        </w:rPr>
        <w:t xml:space="preserve"> for 4 hours, with separate groups serving as controls. Following treatment, DCFH-DA (5 μM final concentration) was added, and after 40 minutes of incubation in darkness, fluorescence degradation were measured at 485 and 535 nms for the excitation and emission wavelengths by using a PerkinElmer VICTOR NivoTM plate reader.</w:t>
      </w:r>
    </w:p>
    <w:p w14:paraId="6537371A">
      <w:pPr>
        <w:ind w:left="0" w:leftChars="0" w:firstLine="0" w:firstLineChars="0"/>
        <w:jc w:val="both"/>
        <w:rPr>
          <w:rFonts w:hint="default"/>
          <w:lang w:val="en-US"/>
        </w:rPr>
      </w:pPr>
    </w:p>
    <w:p w14:paraId="06505742">
      <w:pPr>
        <w:ind w:left="0" w:leftChars="0" w:firstLine="0" w:firstLineChars="0"/>
        <w:jc w:val="both"/>
        <w:rPr>
          <w:rFonts w:hint="default"/>
          <w:i/>
          <w:iCs/>
          <w:lang w:val="en-US"/>
        </w:rPr>
      </w:pPr>
      <w:r>
        <w:rPr>
          <w:rFonts w:hint="default"/>
          <w:i/>
          <w:iCs/>
          <w:lang w:val="en-US"/>
        </w:rPr>
        <w:t>2.8   Mitochondrial Membrane Potential</w:t>
      </w:r>
    </w:p>
    <w:p w14:paraId="3AED4E13">
      <w:pPr>
        <w:keepNext w:val="0"/>
        <w:keepLines w:val="0"/>
        <w:widowControl/>
        <w:suppressLineNumbers w:val="0"/>
        <w:jc w:val="both"/>
        <w:rPr>
          <w:rFonts w:hint="default" w:ascii="Times New Roman" w:hAnsi="Times New Roman" w:eastAsia="Times New Roman" w:cs="Times New Roman"/>
          <w:szCs w:val="24"/>
          <w:lang w:val="en-US" w:eastAsia="en-GB" w:bidi="ar-SA"/>
        </w:rPr>
      </w:pPr>
      <w:r>
        <w:rPr>
          <w:rFonts w:hint="default" w:ascii="Times New Roman" w:hAnsi="Times New Roman" w:eastAsia="Times New Roman" w:cs="Times New Roman"/>
          <w:szCs w:val="24"/>
          <w:lang w:val="en-US" w:eastAsia="zh-CN" w:bidi="ar-SA"/>
        </w:rPr>
        <w:t xml:space="preserve">Studing mitochondria and alterations in mitochondrial membrane potential has emerged as a key area of focus in the analysis of apoptosis. Following the incubation of the cells with HB, Quer, combinations, and their-PDT, fluorescent dye Rh-123 </w:t>
      </w:r>
      <w:r>
        <w:rPr>
          <w:rFonts w:hint="default"/>
          <w:lang w:val="en-US"/>
        </w:rPr>
        <w:t>(5 μM final concentration)</w:t>
      </w:r>
      <w:r>
        <w:rPr>
          <w:rFonts w:hint="default" w:ascii="Times New Roman" w:hAnsi="Times New Roman" w:eastAsia="Times New Roman" w:cs="Times New Roman"/>
          <w:szCs w:val="24"/>
          <w:lang w:val="en-US" w:eastAsia="zh-CN" w:bidi="ar-SA"/>
        </w:rPr>
        <w:t xml:space="preserve"> was added to the cells. The cells were then kept in the incubator for 30 minutes [18]. The cells were subsequently washed with PBS and examined under a fluorescent microscope with a blue filter. The fluorescence intensity w</w:t>
      </w:r>
      <w:r>
        <w:rPr>
          <w:rFonts w:hint="default" w:cs="Times New Roman"/>
          <w:szCs w:val="24"/>
          <w:lang w:val="en-US" w:eastAsia="zh-CN" w:bidi="ar-SA"/>
        </w:rPr>
        <w:t>ere</w:t>
      </w:r>
      <w:r>
        <w:rPr>
          <w:rFonts w:hint="default" w:ascii="Times New Roman" w:hAnsi="Times New Roman" w:eastAsia="Times New Roman" w:cs="Times New Roman"/>
          <w:szCs w:val="24"/>
          <w:lang w:val="en-US" w:eastAsia="zh-CN" w:bidi="ar-SA"/>
        </w:rPr>
        <w:t xml:space="preserve"> recorded at </w:t>
      </w:r>
      <w:r>
        <w:rPr>
          <w:rFonts w:hint="default" w:cs="Times New Roman"/>
          <w:szCs w:val="24"/>
          <w:lang w:val="en-US" w:eastAsia="zh-CN" w:bidi="ar-SA"/>
        </w:rPr>
        <w:t xml:space="preserve">the </w:t>
      </w:r>
      <w:r>
        <w:rPr>
          <w:rFonts w:hint="default" w:ascii="Times New Roman" w:hAnsi="Times New Roman" w:eastAsia="Times New Roman" w:cs="Times New Roman"/>
          <w:szCs w:val="24"/>
          <w:lang w:val="en-US" w:eastAsia="zh-CN" w:bidi="ar-SA"/>
        </w:rPr>
        <w:t>excitation and emission wavelengths of 510  and 535 nm</w:t>
      </w:r>
      <w:r>
        <w:rPr>
          <w:rFonts w:hint="default" w:cs="Times New Roman"/>
          <w:szCs w:val="24"/>
          <w:lang w:val="en-US" w:eastAsia="zh-CN" w:bidi="ar-SA"/>
        </w:rPr>
        <w:t>s</w:t>
      </w:r>
      <w:r>
        <w:rPr>
          <w:rFonts w:hint="default" w:ascii="Times New Roman" w:hAnsi="Times New Roman" w:eastAsia="Times New Roman" w:cs="Times New Roman"/>
          <w:szCs w:val="24"/>
          <w:lang w:val="en-US" w:eastAsia="zh-CN" w:bidi="ar-SA"/>
        </w:rPr>
        <w:t xml:space="preserve"> </w:t>
      </w:r>
      <w:r>
        <w:rPr>
          <w:rFonts w:hint="default" w:cs="Times New Roman"/>
          <w:szCs w:val="24"/>
          <w:lang w:val="en-US" w:eastAsia="zh-CN" w:bidi="ar-SA"/>
        </w:rPr>
        <w:t>by</w:t>
      </w:r>
      <w:r>
        <w:rPr>
          <w:rFonts w:hint="default" w:ascii="Times New Roman" w:hAnsi="Times New Roman" w:eastAsia="Times New Roman" w:cs="Times New Roman"/>
          <w:szCs w:val="24"/>
          <w:lang w:val="en-US" w:eastAsia="zh-CN" w:bidi="ar-SA"/>
        </w:rPr>
        <w:t xml:space="preserve"> using a PerkinElmer VICTOR NivoTM plate reader.</w:t>
      </w:r>
    </w:p>
    <w:p w14:paraId="628DB86A">
      <w:pPr>
        <w:ind w:left="0" w:leftChars="0" w:firstLine="0" w:firstLineChars="0"/>
        <w:jc w:val="both"/>
        <w:rPr>
          <w:rFonts w:hint="default"/>
          <w:lang w:val="en-US"/>
        </w:rPr>
      </w:pPr>
    </w:p>
    <w:p w14:paraId="4D624C91">
      <w:pPr>
        <w:ind w:left="0" w:leftChars="0" w:firstLine="0" w:firstLineChars="0"/>
        <w:jc w:val="both"/>
        <w:rPr>
          <w:rFonts w:hint="default"/>
          <w:i/>
          <w:iCs/>
          <w:lang w:val="en-US"/>
        </w:rPr>
      </w:pPr>
      <w:r>
        <w:rPr>
          <w:rFonts w:hint="default"/>
          <w:i/>
          <w:iCs/>
          <w:lang w:val="en-US"/>
        </w:rPr>
        <w:t>2.9   Cell Death Mechanisms</w:t>
      </w:r>
    </w:p>
    <w:p w14:paraId="11423C96">
      <w:pPr>
        <w:keepNext w:val="0"/>
        <w:keepLines w:val="0"/>
        <w:widowControl/>
        <w:suppressLineNumbers w:val="0"/>
        <w:jc w:val="both"/>
        <w:rPr>
          <w:rFonts w:hint="default" w:ascii="Times New Roman" w:hAnsi="Times New Roman" w:eastAsia="Times New Roman"/>
          <w:szCs w:val="24"/>
          <w:lang w:val="en-US" w:eastAsia="zh-CN"/>
        </w:rPr>
      </w:pPr>
      <w:r>
        <w:rPr>
          <w:rFonts w:hint="default"/>
          <w:color w:val="FFFFFF" w:themeColor="background1"/>
          <w:szCs w:val="24"/>
          <w:lang w:val="en-US" w:eastAsia="zh-CN"/>
          <w14:textFill>
            <w14:solidFill>
              <w14:schemeClr w14:val="bg1"/>
            </w14:solidFill>
          </w14:textFill>
        </w:rPr>
        <w:t>‘</w:t>
      </w:r>
      <w:r>
        <w:rPr>
          <w:rFonts w:hint="default" w:ascii="Times New Roman" w:hAnsi="Times New Roman" w:eastAsia="Times New Roman"/>
          <w:szCs w:val="24"/>
          <w:lang w:val="en-US" w:eastAsia="zh-CN"/>
        </w:rPr>
        <w:t>Flow cytometry analysis with AV/PI (BD Pharmingen™) (556570) was employed to identify the mechanisms of cell death in both control and experimental groups. The Annexin V-PI kit was used according to the manufacturer’s instructions to identify and quantify the number of cells undergoing apoptosis or necrosis. In short, cells were detached using Tryple™ Select from the 3.5 cm² culture dishes and subsequently washed three times with ice-cold 1X PBS. Subsequently, the cells were resuspended in 200 μL of 1X binding buffer. 5 µL of AV solution and 5 µL of Reconstituted PI Staining Solution were added to each cell suspension after dispensing a total of 100 µL of each cellular suspension into flow cytometry tubes. The tubes used for flow cytometry, along with their contents, were softly vortexed and kept in the dark at room temperature for 15 minutes.</w:t>
      </w:r>
      <w:r>
        <w:rPr>
          <w:rFonts w:hint="default"/>
          <w:color w:val="FFFFFF" w:themeColor="background1"/>
          <w:szCs w:val="24"/>
          <w:lang w:val="en-US" w:eastAsia="zh-CN"/>
          <w14:textFill>
            <w14:solidFill>
              <w14:schemeClr w14:val="bg1"/>
            </w14:solidFill>
          </w14:textFill>
        </w:rPr>
        <w:t>’</w:t>
      </w:r>
      <w:r>
        <w:rPr>
          <w:rFonts w:hint="default" w:ascii="Times New Roman" w:hAnsi="Times New Roman" w:eastAsia="Times New Roman"/>
          <w:szCs w:val="24"/>
          <w:lang w:val="en-US" w:eastAsia="zh-CN"/>
        </w:rPr>
        <w:t xml:space="preserve"> After that, all of the flow cytometry tubes were supplemented with 400 µL of Binding Buffer (1x, v/v) that had been chilled to ice temperature. The cell preparations were then examined and evaluated with the BD Accuri</w:t>
      </w:r>
      <w:r>
        <w:rPr>
          <w:rFonts w:hint="default" w:ascii="Times New Roman" w:hAnsi="Times New Roman" w:eastAsia="Times New Roman"/>
          <w:szCs w:val="24"/>
          <w:vertAlign w:val="superscript"/>
          <w:lang w:val="en-US" w:eastAsia="zh-CN"/>
        </w:rPr>
        <w:t>TM</w:t>
      </w:r>
      <w:r>
        <w:rPr>
          <w:rFonts w:hint="default" w:ascii="Times New Roman" w:hAnsi="Times New Roman" w:eastAsia="Times New Roman"/>
          <w:szCs w:val="24"/>
          <w:lang w:val="en-US" w:eastAsia="zh-CN"/>
        </w:rPr>
        <w:t> C6 flow cytometer.</w:t>
      </w:r>
    </w:p>
    <w:p w14:paraId="2E24DFF8">
      <w:pPr>
        <w:keepNext w:val="0"/>
        <w:keepLines w:val="0"/>
        <w:widowControl/>
        <w:suppressLineNumbers w:val="0"/>
        <w:jc w:val="both"/>
        <w:rPr>
          <w:rFonts w:hint="default" w:ascii="Times New Roman" w:hAnsi="Times New Roman" w:eastAsia="Times New Roman"/>
          <w:szCs w:val="24"/>
          <w:lang w:val="en-US" w:eastAsia="zh-CN"/>
        </w:rPr>
      </w:pPr>
    </w:p>
    <w:p w14:paraId="723E508E">
      <w:pPr>
        <w:ind w:left="0" w:leftChars="0" w:firstLine="0" w:firstLineChars="0"/>
        <w:jc w:val="both"/>
        <w:rPr>
          <w:rFonts w:hint="default"/>
          <w:i/>
          <w:iCs/>
          <w:lang w:val="en-US"/>
        </w:rPr>
      </w:pPr>
      <w:r>
        <w:rPr>
          <w:rFonts w:hint="default"/>
          <w:i/>
          <w:iCs/>
          <w:lang w:val="en-US"/>
        </w:rPr>
        <w:t>2.10   Statistical Analysis</w:t>
      </w:r>
    </w:p>
    <w:p w14:paraId="2D8E465E">
      <w:pPr>
        <w:keepNext w:val="0"/>
        <w:keepLines w:val="0"/>
        <w:widowControl/>
        <w:suppressLineNumbers w:val="0"/>
        <w:jc w:val="both"/>
        <w:rPr>
          <w:rFonts w:hint="default" w:ascii="Times New Roman" w:hAnsi="Times New Roman" w:eastAsia="Times New Roman" w:cs="Times New Roman"/>
          <w:szCs w:val="24"/>
          <w:lang w:val="en-US" w:eastAsia="en-GB" w:bidi="ar-SA"/>
        </w:rPr>
      </w:pPr>
      <w:r>
        <w:rPr>
          <w:rFonts w:hint="default" w:ascii="Times New Roman" w:hAnsi="Times New Roman" w:eastAsia="Times New Roman" w:cs="Times New Roman"/>
          <w:szCs w:val="24"/>
          <w:lang w:val="en-US" w:eastAsia="zh-CN" w:bidi="ar-SA"/>
        </w:rPr>
        <w:t>The studies were carried out in biological triplicate (n = 3) on three different occasions.</w:t>
      </w:r>
      <w:r>
        <w:rPr>
          <w:rFonts w:hint="default" w:ascii="Times New Roman" w:hAnsi="Times New Roman" w:eastAsia="Times New Roman" w:cs="Times New Roman"/>
          <w:color w:val="FFFFFF" w:themeColor="background1"/>
          <w:szCs w:val="24"/>
          <w:lang w:val="en-US" w:eastAsia="zh-CN" w:bidi="ar-SA"/>
          <w14:textFill>
            <w14:solidFill>
              <w14:schemeClr w14:val="bg1"/>
            </w14:solidFill>
          </w14:textFill>
        </w:rPr>
        <w:t xml:space="preserve"> </w:t>
      </w:r>
      <w:r>
        <w:rPr>
          <w:rFonts w:hint="default" w:cs="Times New Roman"/>
          <w:color w:val="FFFFFF" w:themeColor="background1"/>
          <w:szCs w:val="24"/>
          <w:lang w:val="en-US" w:eastAsia="zh-CN" w:bidi="ar-SA"/>
          <w14:textFill>
            <w14:solidFill>
              <w14:schemeClr w14:val="bg1"/>
            </w14:solidFill>
          </w14:textFill>
        </w:rPr>
        <w:t>‘</w:t>
      </w:r>
      <w:r>
        <w:rPr>
          <w:rFonts w:hint="default" w:ascii="Times New Roman" w:hAnsi="Times New Roman" w:eastAsia="Times New Roman" w:cs="Times New Roman"/>
          <w:szCs w:val="24"/>
          <w:lang w:val="en-US" w:eastAsia="zh-CN" w:bidi="ar-SA"/>
        </w:rPr>
        <w:t xml:space="preserve">Data analysis was performed using the GraphPad Prism 5 program (GraphPad program Inc., San Diego, CA, USA), which included a one-way analysis of variance (ANOVA) with Tukey's post hoc test and a two-tailed Student's t-test. Results are presented as mean ± standard </w:t>
      </w:r>
      <w:r>
        <w:rPr>
          <w:rFonts w:hint="default" w:cs="Times New Roman"/>
          <w:szCs w:val="24"/>
          <w:lang w:val="en-US" w:eastAsia="zh-CN" w:bidi="ar-SA"/>
        </w:rPr>
        <w:t>deviation</w:t>
      </w:r>
      <w:r>
        <w:rPr>
          <w:rFonts w:hint="default" w:ascii="Times New Roman" w:hAnsi="Times New Roman" w:eastAsia="Times New Roman" w:cs="Times New Roman"/>
          <w:szCs w:val="24"/>
          <w:lang w:val="en-US" w:eastAsia="zh-CN" w:bidi="ar-SA"/>
        </w:rPr>
        <w:t xml:space="preserve"> (S</w:t>
      </w:r>
      <w:r>
        <w:rPr>
          <w:rFonts w:hint="default" w:cs="Times New Roman"/>
          <w:szCs w:val="24"/>
          <w:lang w:val="en-US" w:eastAsia="zh-CN" w:bidi="ar-SA"/>
        </w:rPr>
        <w:t>D</w:t>
      </w:r>
      <w:r>
        <w:rPr>
          <w:rFonts w:hint="default" w:ascii="Times New Roman" w:hAnsi="Times New Roman" w:eastAsia="Times New Roman" w:cs="Times New Roman"/>
          <w:szCs w:val="24"/>
          <w:lang w:val="en-US" w:eastAsia="zh-CN" w:bidi="ar-SA"/>
        </w:rPr>
        <w:t>), with significance defined as p ≤ 0.05 for comparisons among experimental groups.</w:t>
      </w:r>
      <w:r>
        <w:rPr>
          <w:rFonts w:hint="default" w:cs="Times New Roman"/>
          <w:color w:val="FFFFFF" w:themeColor="background1"/>
          <w:szCs w:val="24"/>
          <w:lang w:val="en-US" w:eastAsia="zh-CN" w:bidi="ar-SA"/>
          <w14:textFill>
            <w14:solidFill>
              <w14:schemeClr w14:val="bg1"/>
            </w14:solidFill>
          </w14:textFill>
        </w:rPr>
        <w:t>’</w:t>
      </w:r>
    </w:p>
    <w:p w14:paraId="06345D68">
      <w:pPr>
        <w:ind w:left="0" w:leftChars="0" w:firstLine="0" w:firstLineChars="0"/>
        <w:jc w:val="both"/>
        <w:rPr>
          <w:rFonts w:hint="default"/>
          <w:lang w:val="en-US"/>
        </w:rPr>
      </w:pPr>
    </w:p>
    <w:p w14:paraId="1C3EB150">
      <w:pPr>
        <w:pStyle w:val="2"/>
        <w:numPr>
          <w:ilvl w:val="0"/>
          <w:numId w:val="0"/>
        </w:numPr>
        <w:ind w:left="57" w:leftChars="0" w:right="57" w:rightChars="0"/>
      </w:pPr>
      <w:r>
        <w:rPr>
          <w:rFonts w:hint="default"/>
          <w:lang w:val="en-US"/>
        </w:rPr>
        <w:t>3</w:t>
      </w:r>
      <w:r>
        <w:rPr>
          <w:rFonts w:hint="default"/>
          <w:lang w:val="en-US"/>
        </w:rPr>
        <w:tab/>
      </w:r>
      <w:r>
        <w:rPr>
          <w:rFonts w:hint="default"/>
          <w:lang w:val="en-US"/>
        </w:rPr>
        <w:t>Result and Discussion</w:t>
      </w:r>
    </w:p>
    <w:p w14:paraId="1E9BF468">
      <w:pPr>
        <w:ind w:left="0" w:leftChars="0" w:firstLine="0" w:firstLineChars="0"/>
        <w:jc w:val="both"/>
      </w:pPr>
    </w:p>
    <w:p w14:paraId="747FCB89">
      <w:pPr>
        <w:keepNext w:val="0"/>
        <w:keepLines w:val="0"/>
        <w:widowControl/>
        <w:suppressLineNumbers w:val="0"/>
        <w:jc w:val="both"/>
        <w:rPr>
          <w:rFonts w:hint="default" w:cs="Times New Roman"/>
          <w:szCs w:val="24"/>
          <w:lang w:val="en-US" w:eastAsia="zh-CN" w:bidi="ar-SA"/>
        </w:rPr>
      </w:pPr>
      <w:r>
        <w:rPr>
          <w:rFonts w:hint="default" w:ascii="Times New Roman" w:hAnsi="Times New Roman" w:eastAsia="Times New Roman"/>
          <w:szCs w:val="24"/>
          <w:lang w:val="en-US" w:eastAsia="zh-CN"/>
        </w:rPr>
        <w:t xml:space="preserve">MCF-7 cells were treated with different concentration of HB/Quer for 24 hours to evaluate the effectiveness of HB-PDT and Quer-PDT. Following this treatment, the cells were </w:t>
      </w:r>
      <w:r>
        <w:rPr>
          <w:rFonts w:hint="default"/>
          <w:szCs w:val="24"/>
          <w:lang w:val="en-US" w:eastAsia="zh-CN"/>
        </w:rPr>
        <w:t>irradiated with</w:t>
      </w:r>
      <w:r>
        <w:rPr>
          <w:rFonts w:hint="default" w:ascii="Times New Roman" w:hAnsi="Times New Roman" w:eastAsia="Times New Roman"/>
          <w:szCs w:val="24"/>
          <w:lang w:val="en-US" w:eastAsia="zh-CN"/>
        </w:rPr>
        <w:t xml:space="preserve"> laser light at 470/405 nm. The cytotoxic effect, illustrated in Figure 1, was assessed 24 hours after HB, Quer, and their-PDT post-laser irradiation. This assessment reveals a reduction in % cell viability in comparison to the DMSO control. The light-dose response curve demonstrated that the cytotoxicity of HB, Quer, and their-PDT in MCF-7 cells was dose-dependent.</w:t>
      </w:r>
      <w:r>
        <w:rPr>
          <w:rFonts w:hint="default" w:ascii="Times New Roman" w:hAnsi="Times New Roman" w:eastAsia="Times New Roman" w:cs="Times New Roman"/>
          <w:szCs w:val="24"/>
          <w:lang w:val="en-US" w:eastAsia="zh-CN" w:bidi="ar-SA"/>
        </w:rPr>
        <w:t xml:space="preserve"> </w:t>
      </w:r>
      <w:r>
        <w:rPr>
          <w:rFonts w:hint="default"/>
          <w:szCs w:val="24"/>
          <w:lang w:val="en-US" w:eastAsia="zh-CN"/>
        </w:rPr>
        <w:t>Our study demonstrated cell viability of 50% at HB (40 ng/mL) and Quer (50, 100, and 2</w:t>
      </w:r>
      <w:bookmarkStart w:id="1" w:name="OLE_LINK1"/>
      <w:r>
        <w:rPr>
          <w:rFonts w:hint="default"/>
          <w:szCs w:val="24"/>
          <w:lang w:val="en-US" w:eastAsia="zh-CN"/>
        </w:rPr>
        <w:t>50 μM</w:t>
      </w:r>
      <w:bookmarkEnd w:id="1"/>
      <w:r>
        <w:rPr>
          <w:rFonts w:hint="default"/>
          <w:szCs w:val="24"/>
          <w:lang w:val="en-US" w:eastAsia="zh-CN"/>
        </w:rPr>
        <w:t>). For our study we chose 50 μM, which indicates higher potency and reduce the risk of toxicity or adverse effects. Cells were treated with HB (1.25 µM) for 5 hours, after which they were exposed to LED light at a wavelength of 470 nm and different energy densities, according to another study</w:t>
      </w:r>
      <w:r>
        <w:rPr>
          <w:rFonts w:hint="default" w:ascii="Times New Roman" w:hAnsi="Times New Roman" w:eastAsia="Times New Roman" w:cs="Times New Roman"/>
          <w:szCs w:val="24"/>
          <w:lang w:val="en-US" w:eastAsia="zh-CN" w:bidi="ar-SA"/>
        </w:rPr>
        <w:t xml:space="preserve"> </w:t>
      </w:r>
      <w:r>
        <w:rPr>
          <w:rFonts w:hint="default" w:cs="Times New Roman"/>
          <w:szCs w:val="24"/>
          <w:lang w:val="en-US" w:eastAsia="zh-CN" w:bidi="ar-SA"/>
        </w:rPr>
        <w:t>[19]</w:t>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szCs w:val="24"/>
          <w:lang w:val="en-US" w:eastAsia="zh-CN"/>
        </w:rPr>
        <w:t>The study evaluated the viability of keloid fibroblasts using the MTT assay across several treatment groups: control, HB alone, LED alone, and HB-LED treatment. All treatments resulted in reduced cell viability, but the effect was most marked for HB-LED PDT. It is worth mentioning that the greatest decline in cell viability was observed 12 hours after treatment. At this time point, the MTT assay showed that LED treatment alone caused a 16.57% reduction in cell activity, while HB treatment alone resulted in a 25.77% reduction. In contrast, HB-LED PDT resulted in a significant decrease in cell activity of 50.23% compared to the control group</w:t>
      </w:r>
      <w:r>
        <w:rPr>
          <w:rFonts w:hint="default" w:ascii="Times New Roman" w:hAnsi="Times New Roman" w:eastAsia="Times New Roman" w:cs="Times New Roman"/>
          <w:szCs w:val="24"/>
          <w:lang w:val="en-US" w:eastAsia="zh-CN" w:bidi="ar-SA"/>
        </w:rPr>
        <w:t xml:space="preserve"> </w:t>
      </w:r>
      <w:r>
        <w:rPr>
          <w:rFonts w:hint="default" w:cs="Times New Roman"/>
          <w:szCs w:val="24"/>
          <w:lang w:val="en-US" w:eastAsia="zh-CN" w:bidi="ar-SA"/>
        </w:rPr>
        <w:t>[20]</w:t>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szCs w:val="24"/>
          <w:lang w:val="en-US" w:eastAsia="zh-CN"/>
        </w:rPr>
        <w:t>According to another study, the MTT assay revealed a significant reduction in the survival rate of HO-8910 cells after PDT treatment. Neither treatment with HB alone nor light irradiation alone showed a significant impact on cell survival</w:t>
      </w:r>
      <w:r>
        <w:rPr>
          <w:rFonts w:hint="default" w:cs="Times New Roman"/>
          <w:szCs w:val="24"/>
          <w:lang w:val="en-US" w:eastAsia="zh-CN" w:bidi="ar-SA"/>
        </w:rPr>
        <w:t xml:space="preserve"> [21]</w:t>
      </w: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szCs w:val="24"/>
          <w:lang w:val="en-US" w:eastAsia="zh-CN"/>
        </w:rPr>
        <w:t>A further study showed that Quer at concentrations of 50 and 100 μM significantly hindered cell proliferation</w:t>
      </w:r>
      <w:r>
        <w:rPr>
          <w:rFonts w:hint="default" w:cs="Times New Roman"/>
          <w:szCs w:val="24"/>
          <w:lang w:val="en-US" w:eastAsia="zh-CN" w:bidi="ar-SA"/>
        </w:rPr>
        <w:t xml:space="preserve"> [22]. </w:t>
      </w:r>
      <w:r>
        <w:rPr>
          <w:rFonts w:hint="default"/>
          <w:szCs w:val="24"/>
          <w:lang w:val="en-US" w:eastAsia="zh-CN"/>
        </w:rPr>
        <w:t>A research team characterized the photosensitizing effect of Quer on the PDT of Hep-2 cancer cells in 2014. Quer's absorption wavelength is 557 nm. At a concentration of 50 µM, Quer improved the therapeutic effects of aluminium phthalocyanine tetrasulfonate (10 M), mediated PDT-induced cytotoxicity, and caused changes in the mitochondrial membrane potential (MMP) and apoptosis in cancer cells</w:t>
      </w:r>
      <w:r>
        <w:rPr>
          <w:rFonts w:hint="default" w:cs="Times New Roman"/>
          <w:szCs w:val="24"/>
          <w:lang w:val="en-US" w:eastAsia="zh-CN" w:bidi="ar-SA"/>
        </w:rPr>
        <w:t xml:space="preserve"> [23].</w:t>
      </w:r>
    </w:p>
    <w:p w14:paraId="57DF2948">
      <w:pPr>
        <w:keepNext w:val="0"/>
        <w:keepLines w:val="0"/>
        <w:widowControl/>
        <w:suppressLineNumbers w:val="0"/>
        <w:jc w:val="both"/>
        <w:rPr>
          <w:rFonts w:hint="default" w:cs="Times New Roman"/>
          <w:szCs w:val="24"/>
          <w:lang w:val="en-US" w:eastAsia="zh-CN" w:bidi="ar-SA"/>
        </w:rPr>
      </w:pPr>
    </w:p>
    <w:p w14:paraId="75C42BE9">
      <w:pPr>
        <w:keepNext w:val="0"/>
        <w:keepLines w:val="0"/>
        <w:widowControl/>
        <w:suppressLineNumbers w:val="0"/>
        <w:jc w:val="both"/>
        <w:rPr>
          <w:rFonts w:hint="default"/>
          <w:szCs w:val="24"/>
          <w:lang w:val="en-US" w:eastAsia="zh-CN"/>
        </w:rPr>
      </w:pPr>
    </w:p>
    <w:p w14:paraId="69F23843">
      <w:pPr>
        <w:keepNext w:val="0"/>
        <w:keepLines w:val="0"/>
        <w:widowControl/>
        <w:suppressLineNumbers w:val="0"/>
        <w:jc w:val="both"/>
        <w:rPr>
          <w:rFonts w:hint="default"/>
          <w:szCs w:val="24"/>
          <w:lang w:val="en-US" w:eastAsia="zh-CN"/>
        </w:rPr>
      </w:pPr>
      <w:r>
        <w:rPr>
          <w:rFonts w:hint="default"/>
          <w:szCs w:val="24"/>
          <w:lang w:val="en-US" w:eastAsia="zh-CN"/>
        </w:rPr>
        <w:drawing>
          <wp:anchor distT="0" distB="0" distL="114300" distR="114300" simplePos="0" relativeHeight="251660288" behindDoc="1" locked="0" layoutInCell="1" allowOverlap="1">
            <wp:simplePos x="0" y="0"/>
            <wp:positionH relativeFrom="column">
              <wp:posOffset>2905760</wp:posOffset>
            </wp:positionH>
            <wp:positionV relativeFrom="paragraph">
              <wp:posOffset>50800</wp:posOffset>
            </wp:positionV>
            <wp:extent cx="2705735" cy="2622550"/>
            <wp:effectExtent l="0" t="0" r="37465" b="63500"/>
            <wp:wrapTight wrapText="bothSides">
              <wp:wrapPolygon>
                <wp:start x="0" y="0"/>
                <wp:lineTo x="0" y="21495"/>
                <wp:lineTo x="21443" y="21495"/>
                <wp:lineTo x="21443" y="0"/>
                <wp:lineTo x="0" y="0"/>
              </wp:wrapPolygon>
            </wp:wrapTight>
            <wp:docPr id="2" name="Picture 2" descr="MTT 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TT Quer"/>
                    <pic:cNvPicPr>
                      <a:picLocks noChangeAspect="1"/>
                    </pic:cNvPicPr>
                  </pic:nvPicPr>
                  <pic:blipFill>
                    <a:blip r:embed="rId8"/>
                    <a:stretch>
                      <a:fillRect/>
                    </a:stretch>
                  </pic:blipFill>
                  <pic:spPr>
                    <a:xfrm>
                      <a:off x="0" y="0"/>
                      <a:ext cx="2705735" cy="2622550"/>
                    </a:xfrm>
                    <a:prstGeom prst="rect">
                      <a:avLst/>
                    </a:prstGeom>
                  </pic:spPr>
                </pic:pic>
              </a:graphicData>
            </a:graphic>
          </wp:anchor>
        </w:drawing>
      </w:r>
      <w:r>
        <w:rPr>
          <w:rFonts w:hint="default"/>
          <w:szCs w:val="24"/>
          <w:lang w:val="en-US" w:eastAsia="zh-CN"/>
        </w:rPr>
        <w:drawing>
          <wp:anchor distT="0" distB="0" distL="114300" distR="114300" simplePos="0" relativeHeight="251659264" behindDoc="1" locked="0" layoutInCell="1" allowOverlap="1">
            <wp:simplePos x="0" y="0"/>
            <wp:positionH relativeFrom="column">
              <wp:posOffset>-30480</wp:posOffset>
            </wp:positionH>
            <wp:positionV relativeFrom="paragraph">
              <wp:posOffset>3175</wp:posOffset>
            </wp:positionV>
            <wp:extent cx="2797810" cy="2711450"/>
            <wp:effectExtent l="0" t="0" r="40640" b="50800"/>
            <wp:wrapTight wrapText="bothSides">
              <wp:wrapPolygon>
                <wp:start x="0" y="0"/>
                <wp:lineTo x="0" y="21398"/>
                <wp:lineTo x="21473" y="21398"/>
                <wp:lineTo x="21473" y="0"/>
                <wp:lineTo x="0" y="0"/>
              </wp:wrapPolygon>
            </wp:wrapTight>
            <wp:docPr id="1" name="Picture 1" descr="MTT 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TT HB"/>
                    <pic:cNvPicPr>
                      <a:picLocks noChangeAspect="1"/>
                    </pic:cNvPicPr>
                  </pic:nvPicPr>
                  <pic:blipFill>
                    <a:blip r:embed="rId9"/>
                    <a:stretch>
                      <a:fillRect/>
                    </a:stretch>
                  </pic:blipFill>
                  <pic:spPr>
                    <a:xfrm>
                      <a:off x="0" y="0"/>
                      <a:ext cx="2797810" cy="2711450"/>
                    </a:xfrm>
                    <a:prstGeom prst="rect">
                      <a:avLst/>
                    </a:prstGeom>
                  </pic:spPr>
                </pic:pic>
              </a:graphicData>
            </a:graphic>
          </wp:anchor>
        </w:drawing>
      </w:r>
    </w:p>
    <w:p w14:paraId="3676D4E4">
      <w:pPr>
        <w:keepNext w:val="0"/>
        <w:keepLines w:val="0"/>
        <w:widowControl/>
        <w:suppressLineNumbers w:val="0"/>
        <w:jc w:val="both"/>
        <w:rPr>
          <w:rFonts w:hint="default"/>
          <w:szCs w:val="24"/>
          <w:lang w:val="en-US" w:eastAsia="zh-CN"/>
        </w:rPr>
      </w:pPr>
    </w:p>
    <w:p w14:paraId="2ACA6139">
      <w:pPr>
        <w:keepNext w:val="0"/>
        <w:keepLines w:val="0"/>
        <w:widowControl/>
        <w:suppressLineNumbers w:val="0"/>
        <w:jc w:val="both"/>
        <w:rPr>
          <w:rFonts w:hint="default"/>
          <w:szCs w:val="24"/>
          <w:lang w:val="en-US" w:eastAsia="zh-CN"/>
        </w:rPr>
      </w:pPr>
    </w:p>
    <w:p w14:paraId="14C755BD">
      <w:pPr>
        <w:keepNext w:val="0"/>
        <w:keepLines w:val="0"/>
        <w:widowControl/>
        <w:suppressLineNumbers w:val="0"/>
        <w:jc w:val="both"/>
        <w:rPr>
          <w:rFonts w:hint="default"/>
          <w:szCs w:val="24"/>
          <w:lang w:val="en-US" w:eastAsia="zh-CN"/>
        </w:rPr>
      </w:pPr>
    </w:p>
    <w:p w14:paraId="6B9C71B6">
      <w:pPr>
        <w:keepNext w:val="0"/>
        <w:keepLines w:val="0"/>
        <w:widowControl/>
        <w:suppressLineNumbers w:val="0"/>
        <w:jc w:val="both"/>
        <w:rPr>
          <w:rFonts w:hint="default"/>
          <w:szCs w:val="24"/>
          <w:lang w:val="en-US" w:eastAsia="zh-CN"/>
        </w:rPr>
      </w:pPr>
    </w:p>
    <w:p w14:paraId="083BBEB7">
      <w:pPr>
        <w:ind w:left="720"/>
        <w:jc w:val="both"/>
        <w:rPr>
          <w:rFonts w:hint="default" w:ascii="Times New Roman" w:hAnsi="Times New Roman" w:cs="Times New Roman"/>
          <w:sz w:val="20"/>
          <w:szCs w:val="20"/>
        </w:rPr>
      </w:pPr>
      <w:r>
        <w:rPr>
          <w:rFonts w:hint="default" w:ascii="Times New Roman" w:hAnsi="Times New Roman" w:cs="Times New Roman"/>
          <w:sz w:val="20"/>
          <w:szCs w:val="20"/>
        </w:rPr>
        <w:t>Figure 1: Cell viability of breast cancer cells (MCF7) 24 h of HB</w:t>
      </w:r>
      <w:r>
        <w:rPr>
          <w:rFonts w:hint="default" w:ascii="Times New Roman" w:hAnsi="Times New Roman" w:cs="Times New Roman"/>
          <w:sz w:val="20"/>
          <w:szCs w:val="20"/>
          <w:lang w:val="en-US"/>
        </w:rPr>
        <w:t>, Quer,</w:t>
      </w:r>
      <w:r>
        <w:rPr>
          <w:rFonts w:hint="default" w:ascii="Times New Roman" w:hAnsi="Times New Roman" w:cs="Times New Roman"/>
          <w:sz w:val="20"/>
          <w:szCs w:val="20"/>
        </w:rPr>
        <w:t xml:space="preserve"> and </w:t>
      </w:r>
      <w:r>
        <w:rPr>
          <w:rFonts w:hint="default" w:ascii="Times New Roman" w:hAnsi="Times New Roman" w:cs="Times New Roman"/>
          <w:sz w:val="20"/>
          <w:szCs w:val="20"/>
          <w:lang w:val="en-US"/>
        </w:rPr>
        <w:t xml:space="preserve">their </w:t>
      </w:r>
      <w:r>
        <w:rPr>
          <w:rFonts w:hint="default" w:ascii="Times New Roman" w:hAnsi="Times New Roman" w:cs="Times New Roman"/>
          <w:sz w:val="20"/>
          <w:szCs w:val="20"/>
        </w:rPr>
        <w:t>PDT treatment. The experimental results represent the mean ± standard deviation of three separate experiments conducted in triplicate. Statistical analysis was carried out using one-way analysis of variance (ANOVA) with Tukey's pairwise comparison. The letters represent statistical differentiation, while if means are indicated by the same letter, they are not significantly different at a significance level of p ≤ 0.05.</w:t>
      </w:r>
    </w:p>
    <w:p w14:paraId="20D96541">
      <w:pPr>
        <w:keepNext w:val="0"/>
        <w:keepLines w:val="0"/>
        <w:widowControl/>
        <w:suppressLineNumbers w:val="0"/>
        <w:jc w:val="both"/>
        <w:rPr>
          <w:rFonts w:hint="default" w:cs="Times New Roman"/>
          <w:szCs w:val="24"/>
          <w:lang w:val="en-US" w:eastAsia="zh-CN" w:bidi="ar-SA"/>
        </w:rPr>
      </w:pPr>
      <w:r>
        <w:rPr>
          <w:rFonts w:hint="default"/>
          <w:szCs w:val="24"/>
          <w:lang w:val="en-US" w:eastAsia="zh-CN"/>
        </w:rPr>
        <w:tab/>
      </w:r>
    </w:p>
    <w:p w14:paraId="09BB178F">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29CD3BE7">
      <w:pPr>
        <w:keepNext w:val="0"/>
        <w:keepLines w:val="0"/>
        <w:widowControl/>
        <w:suppressLineNumbers w:val="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szCs w:val="24"/>
          <w:lang w:val="en-US" w:eastAsia="zh-CN"/>
        </w:rPr>
        <w:t xml:space="preserve">As determined by the quantification of LDH release, the effects on apoptosis and cell viability were found to be independent of cytotoxicity </w:t>
      </w:r>
      <w:r>
        <w:rPr>
          <w:rFonts w:hint="default" w:cs="Times New Roman"/>
          <w:szCs w:val="24"/>
          <w:lang w:val="en-US" w:eastAsia="zh-CN" w:bidi="ar-SA"/>
        </w:rPr>
        <w:t>[24]</w:t>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szCs w:val="24"/>
          <w:lang w:val="en-US" w:eastAsia="zh-CN"/>
        </w:rPr>
        <w:t>As shown in Figure 2, HB, Quer, and their-PDT exhibited a higher degree of cytotoxicity compared to the DMSO control. According to the research findings, suppressing LDH can reduce cell viability in MCF-7 cells by triggering the intrinsic apoptotic pathway, which is marked by increased VDAC protein levels and Bcl2 inhibition, as well as by activating the extrinsic apoptotic pathway through caspase-8 activation</w:t>
      </w:r>
      <w:r>
        <w:rPr>
          <w:rFonts w:hint="default" w:cs="Times New Roman"/>
          <w:szCs w:val="24"/>
          <w:lang w:val="en-US" w:eastAsia="zh-CN" w:bidi="ar-SA"/>
        </w:rPr>
        <w:t xml:space="preserve"> [25]</w:t>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szCs w:val="24"/>
          <w:lang w:val="en-US" w:eastAsia="zh-CN"/>
        </w:rPr>
        <w:t>MCF-7 cell lines exhibited comparable localization patterns for Zn(II) Pz, leading to differences in significant LDH release, according to another study</w:t>
      </w:r>
      <w:r>
        <w:rPr>
          <w:rFonts w:hint="default" w:cs="Times New Roman"/>
          <w:szCs w:val="24"/>
          <w:lang w:val="en-US" w:eastAsia="zh-CN" w:bidi="ar-SA"/>
        </w:rPr>
        <w:t xml:space="preserve"> [26]. </w:t>
      </w:r>
      <w:r>
        <w:rPr>
          <w:rFonts w:hint="default" w:ascii="Times New Roman" w:hAnsi="Times New Roman" w:eastAsia="Times New Roman"/>
          <w:szCs w:val="24"/>
          <w:lang w:val="en-US" w:eastAsia="zh-CN"/>
        </w:rPr>
        <w:t>Quer exposure in human HaCaT keratinocytes and Hs68 human skin fibroblasts shows no cytotoxic effects at concentrations that are otherwise toxic to B16F10 and A375 melanoma cells</w:t>
      </w:r>
      <w:r>
        <w:rPr>
          <w:rFonts w:hint="default" w:ascii="Times New Roman" w:hAnsi="Times New Roman" w:eastAsia="Times New Roman" w:cs="Times New Roman"/>
          <w:szCs w:val="24"/>
          <w:lang w:val="en-US" w:eastAsia="zh-CN" w:bidi="ar-SA"/>
        </w:rPr>
        <w:t xml:space="preserve"> [27].</w:t>
      </w:r>
    </w:p>
    <w:p w14:paraId="1E83B4F0">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3BFA165D">
      <w:pPr>
        <w:rPr>
          <w:rFonts w:hint="default" w:ascii="Times New Roman" w:hAnsi="Times New Roman" w:eastAsia="Times New Roman" w:cs="Times New Roman"/>
          <w:szCs w:val="24"/>
          <w:lang w:val="en-US" w:eastAsia="zh-CN" w:bidi="ar-SA"/>
        </w:rPr>
      </w:pPr>
      <w:r>
        <w:rPr>
          <w:rFonts w:hint="default" w:ascii="Times New Roman" w:hAnsi="Times New Roman" w:eastAsia="Times New Roman" w:cs="Times New Roman"/>
          <w:szCs w:val="24"/>
          <w:lang w:val="en-US" w:eastAsia="zh-CN" w:bidi="ar-SA"/>
        </w:rPr>
        <w:br w:type="page"/>
      </w:r>
    </w:p>
    <w:p w14:paraId="33B1A731">
      <w:pPr>
        <w:jc w:val="both"/>
        <w:rPr>
          <w:rFonts w:hint="default" w:ascii="Times New Roman" w:hAnsi="Times New Roman" w:eastAsia="Times New Roman"/>
          <w:szCs w:val="24"/>
          <w:lang w:val="en-US" w:eastAsia="zh-CN"/>
        </w:rPr>
      </w:pPr>
      <w:r>
        <w:rPr>
          <w:rFonts w:hint="default" w:ascii="Times New Roman" w:hAnsi="Times New Roman" w:eastAsia="Times New Roman" w:cs="Times New Roman"/>
          <w:szCs w:val="24"/>
          <w:lang w:val="en-US" w:eastAsia="zh-CN" w:bidi="ar-SA"/>
        </w:rPr>
        <w:drawing>
          <wp:anchor distT="0" distB="0" distL="114300" distR="114300" simplePos="0" relativeHeight="251662336" behindDoc="1" locked="0" layoutInCell="1" allowOverlap="1">
            <wp:simplePos x="0" y="0"/>
            <wp:positionH relativeFrom="column">
              <wp:posOffset>-43180</wp:posOffset>
            </wp:positionH>
            <wp:positionV relativeFrom="paragraph">
              <wp:posOffset>-340360</wp:posOffset>
            </wp:positionV>
            <wp:extent cx="2858770" cy="2770505"/>
            <wp:effectExtent l="0" t="0" r="55880" b="48895"/>
            <wp:wrapTight wrapText="bothSides">
              <wp:wrapPolygon>
                <wp:start x="0" y="0"/>
                <wp:lineTo x="0" y="21387"/>
                <wp:lineTo x="21446" y="21387"/>
                <wp:lineTo x="21446" y="0"/>
                <wp:lineTo x="0" y="0"/>
              </wp:wrapPolygon>
            </wp:wrapTight>
            <wp:docPr id="3" name="Picture 3" descr="LDH 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DH HB"/>
                    <pic:cNvPicPr>
                      <a:picLocks noChangeAspect="1"/>
                    </pic:cNvPicPr>
                  </pic:nvPicPr>
                  <pic:blipFill>
                    <a:blip r:embed="rId10"/>
                    <a:stretch>
                      <a:fillRect/>
                    </a:stretch>
                  </pic:blipFill>
                  <pic:spPr>
                    <a:xfrm>
                      <a:off x="0" y="0"/>
                      <a:ext cx="2858770" cy="2770505"/>
                    </a:xfrm>
                    <a:prstGeom prst="rect">
                      <a:avLst/>
                    </a:prstGeom>
                  </pic:spPr>
                </pic:pic>
              </a:graphicData>
            </a:graphic>
          </wp:anchor>
        </w:drawing>
      </w:r>
      <w:r>
        <w:rPr>
          <w:rFonts w:hint="default" w:ascii="Times New Roman" w:hAnsi="Times New Roman" w:eastAsia="Times New Roman" w:cs="Times New Roman"/>
          <w:szCs w:val="24"/>
          <w:lang w:val="en-US" w:eastAsia="zh-CN" w:bidi="ar-SA"/>
        </w:rPr>
        <w:drawing>
          <wp:anchor distT="0" distB="0" distL="114300" distR="114300" simplePos="0" relativeHeight="251661312" behindDoc="1" locked="0" layoutInCell="1" allowOverlap="1">
            <wp:simplePos x="0" y="0"/>
            <wp:positionH relativeFrom="column">
              <wp:posOffset>2992755</wp:posOffset>
            </wp:positionH>
            <wp:positionV relativeFrom="paragraph">
              <wp:posOffset>-273685</wp:posOffset>
            </wp:positionV>
            <wp:extent cx="2794635" cy="2708910"/>
            <wp:effectExtent l="0" t="0" r="43815" b="53340"/>
            <wp:wrapTight wrapText="bothSides">
              <wp:wrapPolygon>
                <wp:start x="0" y="0"/>
                <wp:lineTo x="0" y="21418"/>
                <wp:lineTo x="21497" y="21418"/>
                <wp:lineTo x="21497" y="0"/>
                <wp:lineTo x="0" y="0"/>
              </wp:wrapPolygon>
            </wp:wrapTight>
            <wp:docPr id="4" name="Picture 4" descr="LDH 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DH Quer"/>
                    <pic:cNvPicPr>
                      <a:picLocks noChangeAspect="1"/>
                    </pic:cNvPicPr>
                  </pic:nvPicPr>
                  <pic:blipFill>
                    <a:blip r:embed="rId11"/>
                    <a:stretch>
                      <a:fillRect/>
                    </a:stretch>
                  </pic:blipFill>
                  <pic:spPr>
                    <a:xfrm>
                      <a:off x="0" y="0"/>
                      <a:ext cx="2794635" cy="2708910"/>
                    </a:xfrm>
                    <a:prstGeom prst="rect">
                      <a:avLst/>
                    </a:prstGeom>
                  </pic:spPr>
                </pic:pic>
              </a:graphicData>
            </a:graphic>
          </wp:anchor>
        </w:drawing>
      </w:r>
    </w:p>
    <w:p w14:paraId="1014742A">
      <w:pPr>
        <w:jc w:val="both"/>
        <w:rPr>
          <w:rFonts w:hint="default" w:ascii="Times New Roman" w:hAnsi="Times New Roman" w:eastAsia="Times New Roman"/>
          <w:szCs w:val="24"/>
          <w:lang w:val="en-US" w:eastAsia="zh-CN"/>
        </w:rPr>
      </w:pPr>
    </w:p>
    <w:p w14:paraId="11352AE7">
      <w:pPr>
        <w:jc w:val="both"/>
        <w:rPr>
          <w:rFonts w:hint="default" w:ascii="Times New Roman" w:hAnsi="Times New Roman" w:eastAsia="Times New Roman"/>
          <w:szCs w:val="24"/>
          <w:lang w:val="en-US" w:eastAsia="zh-CN"/>
        </w:rPr>
      </w:pPr>
    </w:p>
    <w:p w14:paraId="1F069E17">
      <w:pPr>
        <w:jc w:val="both"/>
        <w:rPr>
          <w:rFonts w:hint="default" w:ascii="Times New Roman" w:hAnsi="Times New Roman" w:eastAsia="Times New Roman"/>
          <w:szCs w:val="24"/>
          <w:lang w:val="en-US" w:eastAsia="zh-CN"/>
        </w:rPr>
      </w:pPr>
    </w:p>
    <w:p w14:paraId="4E29547F">
      <w:pPr>
        <w:ind w:left="720"/>
        <w:jc w:val="both"/>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Figure 2: Cytotoxicity of breast cancer cells (MCF7) 24 h of HB, Quer</w:t>
      </w:r>
      <w:r>
        <w:rPr>
          <w:rFonts w:hint="default" w:cs="Times New Roman"/>
          <w:sz w:val="20"/>
          <w:szCs w:val="20"/>
          <w:lang w:val="en-US" w:eastAsia="zh-CN"/>
        </w:rPr>
        <w:t>,</w:t>
      </w:r>
      <w:r>
        <w:rPr>
          <w:rFonts w:hint="default" w:ascii="Times New Roman" w:hAnsi="Times New Roman" w:cs="Times New Roman"/>
          <w:sz w:val="20"/>
          <w:szCs w:val="20"/>
          <w:lang w:val="en-US" w:eastAsia="zh-CN"/>
        </w:rPr>
        <w:t xml:space="preserve"> and their PDT treatment. The experimental results represent the mean ± standard deviation of three separate experiments conducted in triplicate. Statistical analysis was carried out using one-way analysis of variance (ANOVA) with Tukey's pairwise comparison. The letters represent statistical differentiation.</w:t>
      </w:r>
    </w:p>
    <w:p w14:paraId="764A8220">
      <w:pPr>
        <w:jc w:val="both"/>
        <w:rPr>
          <w:rFonts w:hint="default" w:ascii="Times New Roman" w:hAnsi="Times New Roman" w:eastAsia="Times New Roman"/>
          <w:szCs w:val="24"/>
          <w:lang w:val="en-US" w:eastAsia="zh-CN"/>
        </w:rPr>
      </w:pPr>
    </w:p>
    <w:p w14:paraId="212E90E3">
      <w:pPr>
        <w:jc w:val="both"/>
        <w:rPr>
          <w:rFonts w:hint="default" w:ascii="Times New Roman" w:hAnsi="Times New Roman" w:eastAsia="Times New Roman"/>
          <w:szCs w:val="24"/>
          <w:lang w:val="en-US" w:eastAsia="zh-CN"/>
        </w:rPr>
      </w:pPr>
    </w:p>
    <w:p w14:paraId="288E8117">
      <w:pPr>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szCs w:val="24"/>
          <w:lang w:val="en-US" w:eastAsia="zh-CN"/>
        </w:rPr>
        <w:t>Cell proliferation, which involves the highly regulated and complex process of increasing flooding through division, is pallid for understandingg embryogenesis, tissue repair, liminal development, and other medical fields, particularly in light of the pathological consequences Mountains this system fails</w:t>
      </w:r>
      <w:r>
        <w:rPr>
          <w:rFonts w:hint="default" w:ascii="Times New Roman" w:hAnsi="Times New Roman" w:eastAsia="Times New Roman" w:cs="Times New Roman"/>
          <w:szCs w:val="24"/>
          <w:lang w:val="en-US" w:eastAsia="zh-CN" w:bidi="ar-SA"/>
        </w:rPr>
        <w:t xml:space="preserve"> </w:t>
      </w:r>
      <w:r>
        <w:rPr>
          <w:rFonts w:hint="default" w:cs="Times New Roman"/>
          <w:szCs w:val="24"/>
          <w:lang w:val="en-US" w:eastAsia="zh-CN" w:bidi="ar-SA"/>
        </w:rPr>
        <w:t>[16]</w:t>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szCs w:val="24"/>
          <w:lang w:val="en-US" w:eastAsia="zh-CN"/>
        </w:rPr>
        <w:t>Figure 3 illustrates a decrease in cell proliferation noted in HB, Quer, and their-PDT treatments when compared to the DMSO control. Recent studies showed that when exposed to LED light, the PDT effect of HB significantly decreased cell proliferation and caused damage to the morphology and function of mitochondria in ovarian cancer cells</w:t>
      </w:r>
      <w:r>
        <w:rPr>
          <w:rFonts w:hint="default" w:cs="Times New Roman"/>
          <w:szCs w:val="24"/>
          <w:lang w:val="en-US" w:eastAsia="zh-CN" w:bidi="ar-SA"/>
        </w:rPr>
        <w:t xml:space="preserve"> [21]</w:t>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szCs w:val="24"/>
          <w:lang w:val="en-US" w:eastAsia="zh-CN"/>
        </w:rPr>
        <w:t>According to the study, using low concentrations of hypocrellin A (HA) in conjunction with red light irradiation could possibly impede cell proliferation by causing cell cycle arrest</w:t>
      </w:r>
      <w:r>
        <w:rPr>
          <w:rFonts w:hint="default" w:cs="Times New Roman"/>
          <w:szCs w:val="24"/>
          <w:lang w:val="en-US" w:eastAsia="zh-CN" w:bidi="ar-SA"/>
        </w:rPr>
        <w:t xml:space="preserve"> [28]</w:t>
      </w: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cs="Times New Roman"/>
          <w:color w:val="FFFFFF" w:themeColor="background1"/>
          <w:szCs w:val="24"/>
          <w:lang w:val="en-US" w:eastAsia="zh-CN" w:bidi="ar-SA"/>
          <w14:textFill>
            <w14:solidFill>
              <w14:schemeClr w14:val="bg1"/>
            </w14:solidFill>
          </w14:textFill>
        </w:rPr>
        <w:t>‘</w:t>
      </w:r>
      <w:r>
        <w:rPr>
          <w:rFonts w:hint="default" w:ascii="Times New Roman" w:hAnsi="Times New Roman" w:eastAsia="Times New Roman"/>
          <w:szCs w:val="24"/>
          <w:lang w:val="en-US" w:eastAsia="zh-CN"/>
        </w:rPr>
        <w:t>At the molecular level, the apoptosis induced by Quer can be influenced by Akt-mTOR signaling and hypoxia-induced factor 1α (HIF-1α) signaling. Quer hampers cell proliferation and triggers autophagy in U87 and U251 glioma cells</w:t>
      </w:r>
      <w:r>
        <w:rPr>
          <w:rFonts w:hint="default" w:ascii="Times New Roman" w:hAnsi="Times New Roman" w:eastAsia="Times New Roman" w:cs="Times New Roman"/>
          <w:szCs w:val="24"/>
          <w:lang w:val="en-US" w:eastAsia="zh-CN" w:bidi="ar-SA"/>
        </w:rPr>
        <w:t xml:space="preserve"> [29].</w:t>
      </w:r>
      <w:r>
        <w:rPr>
          <w:rFonts w:hint="default" w:cs="Times New Roman"/>
          <w:color w:val="FFFFFF" w:themeColor="background1"/>
          <w:szCs w:val="24"/>
          <w:lang w:val="en-US" w:eastAsia="zh-CN" w:bidi="ar-SA"/>
          <w14:textFill>
            <w14:solidFill>
              <w14:schemeClr w14:val="bg1"/>
            </w14:solidFill>
          </w14:textFill>
        </w:rPr>
        <w:t>’</w:t>
      </w:r>
    </w:p>
    <w:p w14:paraId="4AC0A53D">
      <w:pPr>
        <w:keepNext w:val="0"/>
        <w:keepLines w:val="0"/>
        <w:widowControl/>
        <w:suppressLineNumbers w:val="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szCs w:val="24"/>
          <w:lang w:val="en-US" w:eastAsia="zh-CN"/>
        </w:rPr>
        <w:drawing>
          <wp:anchor distT="0" distB="0" distL="114300" distR="114300" simplePos="0" relativeHeight="251664384" behindDoc="1" locked="0" layoutInCell="1" allowOverlap="1">
            <wp:simplePos x="0" y="0"/>
            <wp:positionH relativeFrom="column">
              <wp:posOffset>3103245</wp:posOffset>
            </wp:positionH>
            <wp:positionV relativeFrom="paragraph">
              <wp:posOffset>102235</wp:posOffset>
            </wp:positionV>
            <wp:extent cx="2806065" cy="2775585"/>
            <wp:effectExtent l="0" t="0" r="32385" b="43815"/>
            <wp:wrapTight wrapText="bothSides">
              <wp:wrapPolygon>
                <wp:start x="0" y="0"/>
                <wp:lineTo x="0" y="21496"/>
                <wp:lineTo x="21409" y="21496"/>
                <wp:lineTo x="21409" y="0"/>
                <wp:lineTo x="0" y="0"/>
              </wp:wrapPolygon>
            </wp:wrapTight>
            <wp:docPr id="6" name="Picture 6" descr="ATP 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TP Quer"/>
                    <pic:cNvPicPr>
                      <a:picLocks noChangeAspect="1"/>
                    </pic:cNvPicPr>
                  </pic:nvPicPr>
                  <pic:blipFill>
                    <a:blip r:embed="rId12"/>
                    <a:stretch>
                      <a:fillRect/>
                    </a:stretch>
                  </pic:blipFill>
                  <pic:spPr>
                    <a:xfrm>
                      <a:off x="0" y="0"/>
                      <a:ext cx="2806065" cy="2775585"/>
                    </a:xfrm>
                    <a:prstGeom prst="rect">
                      <a:avLst/>
                    </a:prstGeom>
                  </pic:spPr>
                </pic:pic>
              </a:graphicData>
            </a:graphic>
          </wp:anchor>
        </w:drawing>
      </w:r>
    </w:p>
    <w:p w14:paraId="7D97166B">
      <w:pPr>
        <w:rPr>
          <w:rFonts w:hint="default" w:ascii="Times New Roman" w:hAnsi="Times New Roman" w:eastAsia="Times New Roman"/>
          <w:szCs w:val="24"/>
          <w:lang w:val="en-US" w:eastAsia="zh-CN"/>
        </w:rPr>
      </w:pPr>
      <w:r>
        <w:rPr>
          <w:rFonts w:hint="default" w:ascii="Times New Roman" w:hAnsi="Times New Roman" w:eastAsia="Times New Roman"/>
          <w:szCs w:val="24"/>
          <w:lang w:val="en-US" w:eastAsia="zh-CN"/>
        </w:rPr>
        <w:drawing>
          <wp:anchor distT="0" distB="0" distL="114300" distR="114300" simplePos="0" relativeHeight="251663360" behindDoc="1" locked="0" layoutInCell="1" allowOverlap="1">
            <wp:simplePos x="0" y="0"/>
            <wp:positionH relativeFrom="column">
              <wp:posOffset>36195</wp:posOffset>
            </wp:positionH>
            <wp:positionV relativeFrom="paragraph">
              <wp:posOffset>0</wp:posOffset>
            </wp:positionV>
            <wp:extent cx="2720340" cy="2689860"/>
            <wp:effectExtent l="0" t="0" r="3810" b="15240"/>
            <wp:wrapTight wrapText="bothSides">
              <wp:wrapPolygon>
                <wp:start x="0" y="0"/>
                <wp:lineTo x="0" y="21416"/>
                <wp:lineTo x="21479" y="21416"/>
                <wp:lineTo x="21479" y="0"/>
                <wp:lineTo x="0" y="0"/>
              </wp:wrapPolygon>
            </wp:wrapTight>
            <wp:docPr id="5" name="Picture 5" descr="ATP 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TP HB"/>
                    <pic:cNvPicPr>
                      <a:picLocks noChangeAspect="1"/>
                    </pic:cNvPicPr>
                  </pic:nvPicPr>
                  <pic:blipFill>
                    <a:blip r:embed="rId13"/>
                    <a:stretch>
                      <a:fillRect/>
                    </a:stretch>
                  </pic:blipFill>
                  <pic:spPr>
                    <a:xfrm>
                      <a:off x="0" y="0"/>
                      <a:ext cx="2720340" cy="2689860"/>
                    </a:xfrm>
                    <a:prstGeom prst="rect">
                      <a:avLst/>
                    </a:prstGeom>
                  </pic:spPr>
                </pic:pic>
              </a:graphicData>
            </a:graphic>
          </wp:anchor>
        </w:drawing>
      </w:r>
      <w:r>
        <w:rPr>
          <w:rFonts w:hint="default" w:ascii="Times New Roman" w:hAnsi="Times New Roman" w:eastAsia="Times New Roman"/>
          <w:szCs w:val="24"/>
          <w:lang w:val="en-US" w:eastAsia="zh-CN"/>
        </w:rPr>
        <w:br w:type="page"/>
      </w:r>
    </w:p>
    <w:p w14:paraId="7582FC63">
      <w:pPr>
        <w:ind w:left="720"/>
        <w:jc w:val="both"/>
        <w:rPr>
          <w:rFonts w:hint="default" w:ascii="Times New Roman" w:hAnsi="Times New Roman" w:cs="Times New Roman"/>
          <w:sz w:val="20"/>
          <w:szCs w:val="20"/>
        </w:rPr>
      </w:pPr>
      <w:r>
        <w:rPr>
          <w:rFonts w:hint="default" w:ascii="Times New Roman" w:hAnsi="Times New Roman" w:cs="Times New Roman"/>
          <w:sz w:val="20"/>
          <w:szCs w:val="20"/>
        </w:rPr>
        <w:t xml:space="preserve">Figure 3: Proliferation of breast cancer cells (MCF7) 24 h of </w:t>
      </w:r>
      <w:r>
        <w:rPr>
          <w:rFonts w:hint="default" w:ascii="Times New Roman" w:hAnsi="Times New Roman" w:eastAsia="Times New Roman"/>
          <w:szCs w:val="24"/>
          <w:lang w:val="en-US" w:eastAsia="zh-CN"/>
        </w:rPr>
        <w:t>HB, Quer</w:t>
      </w:r>
      <w:r>
        <w:rPr>
          <w:rFonts w:hint="default"/>
          <w:szCs w:val="24"/>
          <w:lang w:val="en-US" w:eastAsia="zh-CN"/>
        </w:rPr>
        <w:t>,</w:t>
      </w:r>
      <w:r>
        <w:rPr>
          <w:rFonts w:hint="default" w:ascii="Times New Roman" w:hAnsi="Times New Roman" w:eastAsia="Times New Roman"/>
          <w:szCs w:val="24"/>
          <w:lang w:val="en-US" w:eastAsia="zh-CN"/>
        </w:rPr>
        <w:t xml:space="preserve"> and their PDT </w:t>
      </w:r>
      <w:r>
        <w:rPr>
          <w:rFonts w:hint="default" w:ascii="Times New Roman" w:hAnsi="Times New Roman" w:cs="Times New Roman"/>
          <w:sz w:val="20"/>
          <w:szCs w:val="20"/>
        </w:rPr>
        <w:t xml:space="preserve"> treatment. The experimental results represent the mean ± standard deviation of three separate experiments conducted in triplicate. Statistical analysis was carried out using one-way analysis of variance (ANOVA) with Tukey's pairwise comparison. The letters represent statistical differentiation.</w:t>
      </w:r>
    </w:p>
    <w:p w14:paraId="0DF1F8F7">
      <w:pPr>
        <w:ind w:left="0" w:leftChars="0" w:firstLine="0" w:firstLineChars="0"/>
        <w:rPr>
          <w:rFonts w:hint="default" w:ascii="Times New Roman" w:hAnsi="Times New Roman" w:eastAsia="Times New Roman"/>
          <w:szCs w:val="24"/>
          <w:lang w:val="en-US" w:eastAsia="zh-CN"/>
        </w:rPr>
      </w:pPr>
    </w:p>
    <w:p w14:paraId="27C98A13">
      <w:pPr>
        <w:ind w:left="0" w:leftChars="0" w:firstLine="0" w:firstLineChars="0"/>
        <w:rPr>
          <w:rFonts w:hint="default" w:ascii="Times New Roman" w:hAnsi="Times New Roman" w:eastAsia="Times New Roman"/>
          <w:szCs w:val="24"/>
          <w:lang w:val="en-US" w:eastAsia="zh-CN"/>
        </w:rPr>
      </w:pPr>
    </w:p>
    <w:p w14:paraId="77E2F3C8">
      <w:pPr>
        <w:keepNext w:val="0"/>
        <w:keepLines w:val="0"/>
        <w:widowControl/>
        <w:suppressLineNumbers w:val="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szCs w:val="24"/>
          <w:lang w:val="en-US" w:eastAsia="zh-CN"/>
        </w:rPr>
        <w:t>Recent evidence suggests more and more that ROS may be crucial in cancer treatment, especially in inducing apoptosis</w:t>
      </w:r>
      <w:r>
        <w:rPr>
          <w:rFonts w:hint="default" w:cs="Times New Roman"/>
          <w:szCs w:val="24"/>
          <w:lang w:val="en-US" w:eastAsia="zh-CN" w:bidi="ar-SA"/>
        </w:rPr>
        <w:t xml:space="preserve"> [30].</w:t>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szCs w:val="24"/>
          <w:lang w:val="en-US" w:eastAsia="zh-CN"/>
        </w:rPr>
        <w:t>The impact of HB, Quer, combination, and their-PDT on reducing intracellular ROS levels in MCF-7 cells was examined using different concentrations of these substances (illustrated in Figure 4). The application of HB, Quer, combination, and their-PDT treatments in MCF-7 cells led to a statistically significant increase (p ≤ 0.05) and a two-fold rise in overall ROS levels compared to the control group, particularly when compared to PDT alone.</w:t>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szCs w:val="24"/>
          <w:lang w:val="en-US" w:eastAsia="zh-CN"/>
        </w:rPr>
        <w:t>Another research demonstrated that the intracellular ROS levels in E. coli were assessed via flow cytometry with DCFH-DA staining. The outcomes, signified by a rightward shift in fluorescence curves after light activation of HB, demonstrated a considerable increase in ROS levels within the E. coli cells</w:t>
      </w:r>
      <w:r>
        <w:rPr>
          <w:rFonts w:hint="default" w:cs="Times New Roman"/>
          <w:szCs w:val="24"/>
          <w:lang w:val="en-US" w:eastAsia="zh-CN" w:bidi="ar-SA"/>
        </w:rPr>
        <w:t xml:space="preserve"> [31]</w:t>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szCs w:val="24"/>
          <w:lang w:val="en-US" w:eastAsia="zh-CN"/>
        </w:rPr>
        <w:t>The research showed that combining HA with red light exposure significantly induces ROS-mediated cell death, resulting in inhibited cell proliferation, increased apoptosis, and autophagy induction in A431 cells</w:t>
      </w:r>
      <w:r>
        <w:rPr>
          <w:rFonts w:hint="default" w:ascii="Times New Roman" w:hAnsi="Times New Roman" w:eastAsia="Times New Roman" w:cs="Times New Roman"/>
          <w:szCs w:val="24"/>
          <w:lang w:val="en-US" w:eastAsia="zh-CN" w:bidi="ar-SA"/>
        </w:rPr>
        <w:t xml:space="preserve"> </w:t>
      </w:r>
      <w:r>
        <w:rPr>
          <w:rFonts w:hint="default" w:cs="Times New Roman"/>
          <w:szCs w:val="24"/>
          <w:lang w:val="en-US" w:eastAsia="zh-CN" w:bidi="ar-SA"/>
        </w:rPr>
        <w:t>[28]</w:t>
      </w:r>
      <w:r>
        <w:rPr>
          <w:rFonts w:hint="default" w:ascii="Times New Roman" w:hAnsi="Times New Roman" w:eastAsia="Times New Roman" w:cs="Times New Roman"/>
          <w:szCs w:val="24"/>
          <w:lang w:val="en-US" w:eastAsia="zh-CN" w:bidi="ar-SA"/>
        </w:rPr>
        <w:t>.</w:t>
      </w:r>
    </w:p>
    <w:p w14:paraId="03F34679">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4C82B29F">
      <w:pPr>
        <w:rPr>
          <w:rFonts w:hint="default" w:ascii="Times New Roman" w:hAnsi="Times New Roman" w:eastAsia="Times New Roman" w:cs="Times New Roman"/>
          <w:szCs w:val="24"/>
          <w:lang w:val="en-US" w:eastAsia="zh-CN" w:bidi="ar-SA"/>
        </w:rPr>
      </w:pPr>
    </w:p>
    <w:p w14:paraId="635D165C">
      <w:pPr>
        <w:rPr>
          <w:rFonts w:hint="default" w:ascii="Times New Roman" w:hAnsi="Times New Roman" w:eastAsia="Times New Roman" w:cs="Times New Roman"/>
          <w:szCs w:val="24"/>
          <w:lang w:val="en-US" w:eastAsia="zh-CN" w:bidi="ar-SA"/>
        </w:rPr>
      </w:pPr>
    </w:p>
    <w:p w14:paraId="7300CF9B">
      <w:pPr>
        <w:rPr>
          <w:rFonts w:hint="default" w:ascii="Times New Roman" w:hAnsi="Times New Roman" w:eastAsia="Times New Roman" w:cs="Times New Roman"/>
          <w:szCs w:val="24"/>
          <w:lang w:val="en-US" w:eastAsia="zh-CN" w:bidi="ar-SA"/>
        </w:rPr>
      </w:pPr>
      <w:r>
        <w:rPr>
          <w:rFonts w:hint="default" w:ascii="Times New Roman" w:hAnsi="Times New Roman" w:eastAsia="Times New Roman" w:cs="Times New Roman"/>
          <w:szCs w:val="24"/>
          <w:lang w:val="en-US" w:eastAsia="zh-CN" w:bidi="ar-SA"/>
        </w:rPr>
        <w:drawing>
          <wp:anchor distT="0" distB="0" distL="114300" distR="114300" simplePos="0" relativeHeight="251665408" behindDoc="1" locked="0" layoutInCell="1" allowOverlap="1">
            <wp:simplePos x="0" y="0"/>
            <wp:positionH relativeFrom="column">
              <wp:posOffset>1483995</wp:posOffset>
            </wp:positionH>
            <wp:positionV relativeFrom="paragraph">
              <wp:posOffset>-180340</wp:posOffset>
            </wp:positionV>
            <wp:extent cx="2802255" cy="3072130"/>
            <wp:effectExtent l="0" t="0" r="17145" b="13970"/>
            <wp:wrapTight wrapText="bothSides">
              <wp:wrapPolygon>
                <wp:start x="0" y="0"/>
                <wp:lineTo x="0" y="21430"/>
                <wp:lineTo x="21438" y="21430"/>
                <wp:lineTo x="21438" y="0"/>
                <wp:lineTo x="0" y="0"/>
              </wp:wrapPolygon>
            </wp:wrapTight>
            <wp:docPr id="7" name="Picture 7" desc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OS"/>
                    <pic:cNvPicPr>
                      <a:picLocks noChangeAspect="1"/>
                    </pic:cNvPicPr>
                  </pic:nvPicPr>
                  <pic:blipFill>
                    <a:blip r:embed="rId14"/>
                    <a:stretch>
                      <a:fillRect/>
                    </a:stretch>
                  </pic:blipFill>
                  <pic:spPr>
                    <a:xfrm>
                      <a:off x="0" y="0"/>
                      <a:ext cx="2802255" cy="3072130"/>
                    </a:xfrm>
                    <a:prstGeom prst="rect">
                      <a:avLst/>
                    </a:prstGeom>
                  </pic:spPr>
                </pic:pic>
              </a:graphicData>
            </a:graphic>
          </wp:anchor>
        </w:drawing>
      </w:r>
    </w:p>
    <w:p w14:paraId="5B8EDCA0">
      <w:pPr>
        <w:rPr>
          <w:rFonts w:hint="default" w:ascii="Times New Roman" w:hAnsi="Times New Roman" w:eastAsia="Times New Roman" w:cs="Times New Roman"/>
          <w:szCs w:val="24"/>
          <w:lang w:val="en-US" w:eastAsia="zh-CN" w:bidi="ar-SA"/>
        </w:rPr>
      </w:pPr>
    </w:p>
    <w:p w14:paraId="23023A63">
      <w:pPr>
        <w:rPr>
          <w:rFonts w:hint="default" w:ascii="Times New Roman" w:hAnsi="Times New Roman" w:eastAsia="Times New Roman" w:cs="Times New Roman"/>
          <w:szCs w:val="24"/>
          <w:lang w:val="en-US" w:eastAsia="zh-CN" w:bidi="ar-SA"/>
        </w:rPr>
      </w:pPr>
    </w:p>
    <w:p w14:paraId="162F44EF">
      <w:pPr>
        <w:rPr>
          <w:rFonts w:hint="default" w:ascii="Times New Roman" w:hAnsi="Times New Roman" w:eastAsia="Times New Roman" w:cs="Times New Roman"/>
          <w:szCs w:val="24"/>
          <w:lang w:val="en-US" w:eastAsia="zh-CN" w:bidi="ar-SA"/>
        </w:rPr>
      </w:pPr>
    </w:p>
    <w:p w14:paraId="4B1AE962">
      <w:pPr>
        <w:rPr>
          <w:rFonts w:hint="default" w:ascii="Times New Roman" w:hAnsi="Times New Roman" w:eastAsia="Times New Roman" w:cs="Times New Roman"/>
          <w:szCs w:val="24"/>
          <w:lang w:val="en-US" w:eastAsia="zh-CN" w:bidi="ar-SA"/>
        </w:rPr>
      </w:pPr>
    </w:p>
    <w:p w14:paraId="62A24EB5">
      <w:pPr>
        <w:rPr>
          <w:rFonts w:hint="default" w:ascii="Times New Roman" w:hAnsi="Times New Roman" w:eastAsia="Times New Roman" w:cs="Times New Roman"/>
          <w:szCs w:val="24"/>
          <w:lang w:val="en-US" w:eastAsia="zh-CN" w:bidi="ar-SA"/>
        </w:rPr>
      </w:pPr>
    </w:p>
    <w:p w14:paraId="31D11826">
      <w:pPr>
        <w:rPr>
          <w:rFonts w:hint="default" w:ascii="Times New Roman" w:hAnsi="Times New Roman" w:eastAsia="Times New Roman" w:cs="Times New Roman"/>
          <w:szCs w:val="24"/>
          <w:lang w:val="en-US" w:eastAsia="zh-CN" w:bidi="ar-SA"/>
        </w:rPr>
      </w:pPr>
    </w:p>
    <w:p w14:paraId="0172F9F3">
      <w:pPr>
        <w:rPr>
          <w:rFonts w:hint="default" w:ascii="Times New Roman" w:hAnsi="Times New Roman" w:eastAsia="Times New Roman" w:cs="Times New Roman"/>
          <w:szCs w:val="24"/>
          <w:lang w:val="en-US" w:eastAsia="zh-CN" w:bidi="ar-SA"/>
        </w:rPr>
      </w:pPr>
    </w:p>
    <w:p w14:paraId="0117C90E">
      <w:pPr>
        <w:rPr>
          <w:rFonts w:hint="default" w:ascii="Times New Roman" w:hAnsi="Times New Roman" w:eastAsia="Times New Roman" w:cs="Times New Roman"/>
          <w:szCs w:val="24"/>
          <w:lang w:val="en-US" w:eastAsia="zh-CN" w:bidi="ar-SA"/>
        </w:rPr>
      </w:pPr>
    </w:p>
    <w:p w14:paraId="0BE4B2EF">
      <w:pPr>
        <w:rPr>
          <w:rFonts w:hint="default" w:ascii="Times New Roman" w:hAnsi="Times New Roman" w:eastAsia="Times New Roman" w:cs="Times New Roman"/>
          <w:szCs w:val="24"/>
          <w:lang w:val="en-US" w:eastAsia="zh-CN" w:bidi="ar-SA"/>
        </w:rPr>
      </w:pPr>
    </w:p>
    <w:p w14:paraId="2AD8AF1E">
      <w:pPr>
        <w:rPr>
          <w:rFonts w:hint="default" w:ascii="Times New Roman" w:hAnsi="Times New Roman" w:eastAsia="Times New Roman" w:cs="Times New Roman"/>
          <w:szCs w:val="24"/>
          <w:lang w:val="en-US" w:eastAsia="zh-CN" w:bidi="ar-SA"/>
        </w:rPr>
      </w:pPr>
    </w:p>
    <w:p w14:paraId="340C2448">
      <w:pPr>
        <w:rPr>
          <w:rFonts w:hint="default" w:ascii="Times New Roman" w:hAnsi="Times New Roman" w:eastAsia="Times New Roman" w:cs="Times New Roman"/>
          <w:szCs w:val="24"/>
          <w:lang w:val="en-US" w:eastAsia="zh-CN" w:bidi="ar-SA"/>
        </w:rPr>
      </w:pPr>
    </w:p>
    <w:p w14:paraId="415D1599">
      <w:pPr>
        <w:rPr>
          <w:rFonts w:hint="default" w:ascii="Times New Roman" w:hAnsi="Times New Roman" w:eastAsia="Times New Roman" w:cs="Times New Roman"/>
          <w:szCs w:val="24"/>
          <w:lang w:val="en-US" w:eastAsia="zh-CN" w:bidi="ar-SA"/>
        </w:rPr>
      </w:pPr>
    </w:p>
    <w:p w14:paraId="427FE297">
      <w:pPr>
        <w:rPr>
          <w:rFonts w:hint="default" w:ascii="Times New Roman" w:hAnsi="Times New Roman" w:eastAsia="Times New Roman" w:cs="Times New Roman"/>
          <w:szCs w:val="24"/>
          <w:lang w:val="en-US" w:eastAsia="zh-CN" w:bidi="ar-SA"/>
        </w:rPr>
      </w:pPr>
    </w:p>
    <w:p w14:paraId="2B67EE45">
      <w:pPr>
        <w:rPr>
          <w:rFonts w:hint="default" w:ascii="Times New Roman" w:hAnsi="Times New Roman" w:eastAsia="Times New Roman" w:cs="Times New Roman"/>
          <w:szCs w:val="24"/>
          <w:lang w:val="en-US" w:eastAsia="zh-CN" w:bidi="ar-SA"/>
        </w:rPr>
      </w:pPr>
    </w:p>
    <w:p w14:paraId="7254ABD6">
      <w:pPr>
        <w:rPr>
          <w:rFonts w:hint="default" w:ascii="Times New Roman" w:hAnsi="Times New Roman" w:eastAsia="Times New Roman" w:cs="Times New Roman"/>
          <w:szCs w:val="24"/>
          <w:lang w:val="en-US" w:eastAsia="zh-CN" w:bidi="ar-SA"/>
        </w:rPr>
      </w:pPr>
    </w:p>
    <w:p w14:paraId="40670248">
      <w:pPr>
        <w:rPr>
          <w:rFonts w:hint="default" w:ascii="Times New Roman" w:hAnsi="Times New Roman" w:eastAsia="Times New Roman" w:cs="Times New Roman"/>
          <w:szCs w:val="24"/>
          <w:lang w:val="en-US" w:eastAsia="zh-CN" w:bidi="ar-SA"/>
        </w:rPr>
      </w:pPr>
    </w:p>
    <w:p w14:paraId="71406BB4">
      <w:pPr>
        <w:rPr>
          <w:rFonts w:hint="default" w:ascii="Times New Roman" w:hAnsi="Times New Roman" w:eastAsia="Times New Roman" w:cs="Times New Roman"/>
          <w:szCs w:val="24"/>
          <w:lang w:val="en-US" w:eastAsia="zh-CN" w:bidi="ar-SA"/>
        </w:rPr>
      </w:pPr>
    </w:p>
    <w:p w14:paraId="145A5A85">
      <w:pPr>
        <w:rPr>
          <w:rFonts w:hint="default" w:ascii="Times New Roman" w:hAnsi="Times New Roman" w:eastAsia="Times New Roman" w:cs="Times New Roman"/>
          <w:szCs w:val="24"/>
          <w:lang w:val="en-US" w:eastAsia="zh-CN" w:bidi="ar-SA"/>
        </w:rPr>
      </w:pPr>
    </w:p>
    <w:p w14:paraId="55451DDA">
      <w:pPr>
        <w:rPr>
          <w:rFonts w:hint="default" w:ascii="Times New Roman" w:hAnsi="Times New Roman" w:eastAsia="Times New Roman" w:cs="Times New Roman"/>
          <w:szCs w:val="24"/>
          <w:lang w:val="en-US" w:eastAsia="zh-CN" w:bidi="ar-SA"/>
        </w:rPr>
      </w:pPr>
    </w:p>
    <w:p w14:paraId="246C736D">
      <w:pPr>
        <w:rPr>
          <w:rFonts w:hint="default" w:ascii="Times New Roman" w:hAnsi="Times New Roman" w:eastAsia="Times New Roman" w:cs="Times New Roman"/>
          <w:szCs w:val="24"/>
          <w:lang w:val="en-US" w:eastAsia="zh-CN" w:bidi="ar-SA"/>
        </w:rPr>
      </w:pPr>
    </w:p>
    <w:p w14:paraId="4194EBEF">
      <w:pPr>
        <w:rPr>
          <w:rFonts w:hint="default" w:ascii="Times New Roman" w:hAnsi="Times New Roman" w:eastAsia="Times New Roman" w:cs="Times New Roman"/>
          <w:szCs w:val="24"/>
          <w:lang w:val="en-US" w:eastAsia="zh-CN" w:bidi="ar-SA"/>
        </w:rPr>
      </w:pPr>
    </w:p>
    <w:p w14:paraId="6A458795">
      <w:pPr>
        <w:ind w:left="720"/>
        <w:jc w:val="both"/>
        <w:rPr>
          <w:rFonts w:hint="default" w:ascii="Times New Roman" w:hAnsi="Times New Roman" w:cs="Times New Roman"/>
          <w:sz w:val="20"/>
          <w:szCs w:val="20"/>
        </w:rPr>
      </w:pPr>
      <w:r>
        <w:rPr>
          <w:rFonts w:hint="default" w:ascii="Times New Roman" w:hAnsi="Times New Roman" w:cs="Times New Roman"/>
          <w:sz w:val="20"/>
          <w:szCs w:val="20"/>
        </w:rPr>
        <w:t>Figure 4: ROS generation of breast cancer cells (MCF7) of HB</w:t>
      </w:r>
      <w:r>
        <w:rPr>
          <w:rFonts w:hint="default" w:ascii="Times New Roman" w:hAnsi="Times New Roman" w:cs="Times New Roman"/>
          <w:sz w:val="20"/>
          <w:szCs w:val="20"/>
          <w:lang w:val="en-US"/>
        </w:rPr>
        <w:t>, Quer, combination</w:t>
      </w:r>
      <w:r>
        <w:rPr>
          <w:rFonts w:hint="default" w:ascii="Times New Roman" w:hAnsi="Times New Roman" w:cs="Times New Roman"/>
          <w:sz w:val="20"/>
          <w:szCs w:val="20"/>
        </w:rPr>
        <w:t xml:space="preserve"> and </w:t>
      </w:r>
      <w:r>
        <w:rPr>
          <w:rFonts w:hint="default" w:ascii="Times New Roman" w:hAnsi="Times New Roman" w:cs="Times New Roman"/>
          <w:sz w:val="20"/>
          <w:szCs w:val="20"/>
          <w:lang w:val="en-US"/>
        </w:rPr>
        <w:t xml:space="preserve">their </w:t>
      </w:r>
      <w:r>
        <w:rPr>
          <w:rFonts w:hint="default" w:ascii="Times New Roman" w:hAnsi="Times New Roman" w:cs="Times New Roman"/>
          <w:sz w:val="20"/>
          <w:szCs w:val="20"/>
        </w:rPr>
        <w:t>PDT treatment. The experimental results represent the mean ± standard deviation of three separate experiments conducted in triplicate. Statistical analysis was carried out using one-way analysis of variance (ANOVA) with Tukey's pairwise comparison. The letters represent statistical differentiation.</w:t>
      </w:r>
    </w:p>
    <w:p w14:paraId="1A76DA89">
      <w:pPr>
        <w:rPr>
          <w:rFonts w:hint="default" w:ascii="Times New Roman" w:hAnsi="Times New Roman" w:eastAsia="Times New Roman" w:cs="Times New Roman"/>
          <w:szCs w:val="24"/>
          <w:lang w:val="en-US" w:eastAsia="zh-CN" w:bidi="ar-SA"/>
        </w:rPr>
      </w:pPr>
    </w:p>
    <w:p w14:paraId="4BD0D2FC">
      <w:pPr>
        <w:rPr>
          <w:rFonts w:hint="default" w:ascii="Times New Roman" w:hAnsi="Times New Roman" w:eastAsia="Times New Roman" w:cs="Times New Roman"/>
          <w:szCs w:val="24"/>
          <w:lang w:val="en-US" w:eastAsia="zh-CN" w:bidi="ar-SA"/>
        </w:rPr>
      </w:pPr>
    </w:p>
    <w:p w14:paraId="0E817FC4">
      <w:pPr>
        <w:keepNext w:val="0"/>
        <w:keepLines w:val="0"/>
        <w:widowControl/>
        <w:suppressLineNumbers w:val="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szCs w:val="24"/>
          <w:lang w:val="en-US" w:eastAsia="zh-CN"/>
        </w:rPr>
        <w:t>The MMP changes in HB, Quer, combination, and their-PDT treated cells were illustrated in Figure 5. Compared to the DMSO control and PDT treatment alone, MMP was significantly reduced in cells treated with HB, Quer, the combination, and their-PDT</w:t>
      </w:r>
      <w:r>
        <w:rPr>
          <w:rFonts w:hint="default" w:ascii="Times New Roman" w:hAnsi="Times New Roman" w:eastAsia="Times New Roman" w:cs="Times New Roman"/>
          <w:szCs w:val="24"/>
          <w:lang w:val="en-US" w:eastAsia="zh-CN" w:bidi="ar-SA"/>
        </w:rPr>
        <w:t xml:space="preserve">. Anther research suggested that with Rh123 staining, the MMP of MDA-MB-231 cells was assessed. The outcome showed that the percentages of cells with MMP collapse when treated with HB [32]. </w:t>
      </w:r>
      <w:r>
        <w:rPr>
          <w:rFonts w:hint="default" w:ascii="Times New Roman" w:hAnsi="Times New Roman" w:eastAsia="Times New Roman"/>
          <w:szCs w:val="24"/>
          <w:lang w:val="en-US" w:eastAsia="zh-CN"/>
        </w:rPr>
        <w:t xml:space="preserve">Another study demonstrated that the MMP in MCF-7 cells treated with 10 µM of quercetin rose by a factor of 1.43 [33]. </w:t>
      </w:r>
      <w:r>
        <w:rPr>
          <w:rFonts w:hint="default" w:ascii="Times New Roman" w:hAnsi="Times New Roman" w:eastAsia="Times New Roman" w:cs="Times New Roman"/>
          <w:szCs w:val="24"/>
          <w:lang w:val="en-US" w:eastAsia="zh-CN" w:bidi="ar-SA"/>
        </w:rPr>
        <w:t>Another study indicated that Quer combined with PDT led to a reduction in MMP and features of late apoptosis and/or the beginning stages of necrosis [23].</w:t>
      </w:r>
    </w:p>
    <w:p w14:paraId="3A1FD3BD">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0A63910B">
      <w:pPr>
        <w:keepNext w:val="0"/>
        <w:keepLines w:val="0"/>
        <w:widowControl/>
        <w:suppressLineNumbers w:val="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cs="Times New Roman"/>
          <w:szCs w:val="24"/>
          <w:lang w:val="en-US" w:eastAsia="zh-CN" w:bidi="ar-SA"/>
        </w:rPr>
        <w:drawing>
          <wp:anchor distT="0" distB="0" distL="114300" distR="114300" simplePos="0" relativeHeight="251666432" behindDoc="1" locked="0" layoutInCell="1" allowOverlap="1">
            <wp:simplePos x="0" y="0"/>
            <wp:positionH relativeFrom="column">
              <wp:posOffset>1312545</wp:posOffset>
            </wp:positionH>
            <wp:positionV relativeFrom="paragraph">
              <wp:posOffset>-142875</wp:posOffset>
            </wp:positionV>
            <wp:extent cx="2968625" cy="3253740"/>
            <wp:effectExtent l="0" t="0" r="41275" b="41910"/>
            <wp:wrapTight wrapText="bothSides">
              <wp:wrapPolygon>
                <wp:start x="0" y="0"/>
                <wp:lineTo x="0" y="21499"/>
                <wp:lineTo x="21484" y="21499"/>
                <wp:lineTo x="21484" y="0"/>
                <wp:lineTo x="0" y="0"/>
              </wp:wrapPolygon>
            </wp:wrapTight>
            <wp:docPr id="8" name="Picture 8" descr="M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MP"/>
                    <pic:cNvPicPr>
                      <a:picLocks noChangeAspect="1"/>
                    </pic:cNvPicPr>
                  </pic:nvPicPr>
                  <pic:blipFill>
                    <a:blip r:embed="rId15"/>
                    <a:stretch>
                      <a:fillRect/>
                    </a:stretch>
                  </pic:blipFill>
                  <pic:spPr>
                    <a:xfrm>
                      <a:off x="0" y="0"/>
                      <a:ext cx="2968625" cy="3253740"/>
                    </a:xfrm>
                    <a:prstGeom prst="rect">
                      <a:avLst/>
                    </a:prstGeom>
                  </pic:spPr>
                </pic:pic>
              </a:graphicData>
            </a:graphic>
          </wp:anchor>
        </w:drawing>
      </w:r>
    </w:p>
    <w:p w14:paraId="67B3DC78">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0E4F5C35">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4D9FCABD">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1C4B97F5">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6305E6FF">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640AD028">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56BE5460">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15392A9C">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022F4D5B">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3BE53E8B">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57E00804">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2F07BF35">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358D2939">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1443177A">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64BFEA07">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38455EBB">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532A4113">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5BE2FF34">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4A5902DD">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0C88E297">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4638364E">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3EAB6A7D">
      <w:pPr>
        <w:ind w:left="720"/>
        <w:jc w:val="both"/>
        <w:rPr>
          <w:rFonts w:hint="default" w:ascii="Times New Roman" w:hAnsi="Times New Roman" w:cs="Times New Roman"/>
          <w:sz w:val="20"/>
          <w:szCs w:val="20"/>
        </w:rPr>
      </w:pPr>
      <w:r>
        <w:rPr>
          <w:rFonts w:hint="default" w:ascii="Times New Roman" w:hAnsi="Times New Roman" w:cs="Times New Roman"/>
          <w:sz w:val="20"/>
          <w:szCs w:val="20"/>
        </w:rPr>
        <w:t xml:space="preserve">Figure </w:t>
      </w:r>
      <w:r>
        <w:rPr>
          <w:rFonts w:hint="default" w:cs="Times New Roman"/>
          <w:sz w:val="20"/>
          <w:szCs w:val="20"/>
          <w:lang w:val="en-US"/>
        </w:rPr>
        <w:t>5</w:t>
      </w:r>
      <w:r>
        <w:rPr>
          <w:rFonts w:hint="default" w:ascii="Times New Roman" w:hAnsi="Times New Roman" w:cs="Times New Roman"/>
          <w:sz w:val="20"/>
          <w:szCs w:val="20"/>
        </w:rPr>
        <w:t xml:space="preserve">: </w:t>
      </w:r>
      <w:r>
        <w:rPr>
          <w:rFonts w:hint="default" w:cs="Times New Roman"/>
          <w:sz w:val="20"/>
          <w:szCs w:val="20"/>
          <w:lang w:val="en-US"/>
        </w:rPr>
        <w:t xml:space="preserve">MMP levels </w:t>
      </w:r>
      <w:r>
        <w:rPr>
          <w:rFonts w:hint="default" w:ascii="Times New Roman" w:hAnsi="Times New Roman" w:cs="Times New Roman"/>
          <w:sz w:val="20"/>
          <w:szCs w:val="20"/>
        </w:rPr>
        <w:t>of breast cancer cells (MCF7) of HB</w:t>
      </w:r>
      <w:r>
        <w:rPr>
          <w:rFonts w:hint="default" w:ascii="Times New Roman" w:hAnsi="Times New Roman" w:cs="Times New Roman"/>
          <w:sz w:val="20"/>
          <w:szCs w:val="20"/>
          <w:lang w:val="en-US"/>
        </w:rPr>
        <w:t>, Quer, combination</w:t>
      </w:r>
      <w:r>
        <w:rPr>
          <w:rFonts w:hint="default" w:ascii="Times New Roman" w:hAnsi="Times New Roman" w:cs="Times New Roman"/>
          <w:sz w:val="20"/>
          <w:szCs w:val="20"/>
        </w:rPr>
        <w:t xml:space="preserve"> and </w:t>
      </w:r>
      <w:r>
        <w:rPr>
          <w:rFonts w:hint="default" w:ascii="Times New Roman" w:hAnsi="Times New Roman" w:cs="Times New Roman"/>
          <w:sz w:val="20"/>
          <w:szCs w:val="20"/>
          <w:lang w:val="en-US"/>
        </w:rPr>
        <w:t xml:space="preserve">their </w:t>
      </w:r>
      <w:r>
        <w:rPr>
          <w:rFonts w:hint="default" w:ascii="Times New Roman" w:hAnsi="Times New Roman" w:cs="Times New Roman"/>
          <w:sz w:val="20"/>
          <w:szCs w:val="20"/>
        </w:rPr>
        <w:t>PDT treatment. The experimental results represent the mean ± standard deviation of three separate experiments conducted in triplicate. Statistical analysis was carried out using one-way analysis of variance (ANOVA) with Tukey's pairwise comparison. The letters represent statistical differentiation.</w:t>
      </w:r>
    </w:p>
    <w:p w14:paraId="1B41ACDB">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3DDE3645">
      <w:pPr>
        <w:keepNext w:val="0"/>
        <w:keepLines w:val="0"/>
        <w:widowControl/>
        <w:suppressLineNumbers w:val="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cs="Times New Roman"/>
          <w:szCs w:val="24"/>
          <w:lang w:val="en-US" w:eastAsia="zh-CN" w:bidi="ar-SA"/>
        </w:rPr>
        <w:t xml:space="preserve">We subsequently assessed the apoptotic rates of HB, Quer, and PDT treatment in MCF7 cell lines. The results showed that HB, Quer, and their-PDT initiated apoptosis in these cells in a dose-dependent manner (Figure 6). </w:t>
      </w:r>
      <w:r>
        <w:rPr>
          <w:rFonts w:hint="default"/>
          <w:szCs w:val="24"/>
          <w:lang w:val="en-US" w:eastAsia="zh-CN"/>
        </w:rPr>
        <w:t>A</w:t>
      </w:r>
      <w:r>
        <w:rPr>
          <w:rFonts w:hint="default" w:ascii="Times New Roman" w:hAnsi="Times New Roman" w:eastAsia="Times New Roman"/>
          <w:szCs w:val="24"/>
          <w:lang w:val="en-US" w:eastAsia="zh-CN"/>
        </w:rPr>
        <w:t>nother study showed that flow cytometry using annexin V/PI staining revealed a significant increase in early apoptotic and late apoptotic (necrotic) rates after photodynamic therapy with HB and HB-PDT treatment</w:t>
      </w:r>
      <w:r>
        <w:rPr>
          <w:rFonts w:hint="default"/>
          <w:szCs w:val="24"/>
          <w:lang w:val="en-US" w:eastAsia="zh-CN"/>
        </w:rPr>
        <w:t xml:space="preserve"> [34]. </w:t>
      </w:r>
      <w:r>
        <w:rPr>
          <w:rFonts w:hint="default" w:ascii="Times New Roman" w:hAnsi="Times New Roman" w:eastAsia="Times New Roman"/>
          <w:szCs w:val="24"/>
          <w:lang w:val="en-US" w:eastAsia="zh-CN"/>
        </w:rPr>
        <w:t xml:space="preserve"> Other study showed that flow cytometry indicated an increased rate of early and late apoptosis in MDA-MB-231 cells following treatment with LED-activated HB [19]. </w:t>
      </w:r>
      <w:r>
        <w:rPr>
          <w:rFonts w:hint="default" w:ascii="Times New Roman" w:hAnsi="Times New Roman" w:eastAsia="Times New Roman" w:cs="Times New Roman"/>
          <w:szCs w:val="24"/>
          <w:lang w:val="en-US" w:eastAsia="zh-CN" w:bidi="ar-SA"/>
        </w:rPr>
        <w:t>Another</w:t>
      </w:r>
      <w:r>
        <w:rPr>
          <w:rFonts w:hint="default" w:ascii="Times New Roman" w:hAnsi="Times New Roman" w:eastAsia="Times New Roman"/>
          <w:szCs w:val="24"/>
          <w:lang w:val="en-US" w:eastAsia="zh-CN"/>
        </w:rPr>
        <w:t xml:space="preserve"> study indicated that the impact of Quer at 120 µM on the apoptotic rate of the CT-26, LNCaP, MOLT-4, and Raji cell lines [35]. </w:t>
      </w:r>
      <w:r>
        <w:rPr>
          <w:rFonts w:hint="default" w:ascii="Times New Roman" w:hAnsi="Times New Roman" w:eastAsia="Times New Roman" w:cs="Times New Roman"/>
          <w:szCs w:val="24"/>
          <w:lang w:val="en-US" w:eastAsia="zh-CN" w:bidi="ar-SA"/>
        </w:rPr>
        <w:t>A further investigation showed that Quer prevents cell proliferation linked to the triggering of cell apoptosis and evaluated the apoptosis of MDA-MB-231 cells through flow cytometry</w:t>
      </w:r>
      <w:r>
        <w:rPr>
          <w:rFonts w:hint="default" w:cs="Times New Roman"/>
          <w:szCs w:val="24"/>
          <w:lang w:val="en-US" w:eastAsia="zh-CN" w:bidi="ar-SA"/>
        </w:rPr>
        <w:t xml:space="preserve"> [22]</w:t>
      </w:r>
      <w:r>
        <w:rPr>
          <w:rFonts w:hint="default" w:ascii="Times New Roman" w:hAnsi="Times New Roman" w:eastAsia="Times New Roman" w:cs="Times New Roman"/>
          <w:szCs w:val="24"/>
          <w:lang w:val="en-US" w:eastAsia="zh-CN" w:bidi="ar-SA"/>
        </w:rPr>
        <w:t>.</w:t>
      </w:r>
    </w:p>
    <w:p w14:paraId="594611B4">
      <w:pPr>
        <w:keepNext w:val="0"/>
        <w:keepLines w:val="0"/>
        <w:widowControl/>
        <w:suppressLineNumbers w:val="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cs="Times New Roman"/>
          <w:szCs w:val="24"/>
          <w:lang w:val="en-US" w:eastAsia="zh-CN" w:bidi="ar-SA"/>
        </w:rPr>
        <w:drawing>
          <wp:anchor distT="0" distB="0" distL="114300" distR="114300" simplePos="0" relativeHeight="251667456" behindDoc="1" locked="0" layoutInCell="1" allowOverlap="1">
            <wp:simplePos x="0" y="0"/>
            <wp:positionH relativeFrom="column">
              <wp:posOffset>550545</wp:posOffset>
            </wp:positionH>
            <wp:positionV relativeFrom="paragraph">
              <wp:posOffset>86360</wp:posOffset>
            </wp:positionV>
            <wp:extent cx="4545330" cy="3409315"/>
            <wp:effectExtent l="0" t="0" r="45720" b="38735"/>
            <wp:wrapTight wrapText="bothSides">
              <wp:wrapPolygon>
                <wp:start x="0" y="0"/>
                <wp:lineTo x="0" y="21483"/>
                <wp:lineTo x="21546" y="21483"/>
                <wp:lineTo x="21546" y="0"/>
                <wp:lineTo x="0" y="0"/>
              </wp:wrapPolygon>
            </wp:wrapTight>
            <wp:docPr id="9" name="Picture 9" desc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low"/>
                    <pic:cNvPicPr>
                      <a:picLocks noChangeAspect="1"/>
                    </pic:cNvPicPr>
                  </pic:nvPicPr>
                  <pic:blipFill>
                    <a:blip r:embed="rId16"/>
                    <a:stretch>
                      <a:fillRect/>
                    </a:stretch>
                  </pic:blipFill>
                  <pic:spPr>
                    <a:xfrm>
                      <a:off x="0" y="0"/>
                      <a:ext cx="4545330" cy="3409315"/>
                    </a:xfrm>
                    <a:prstGeom prst="rect">
                      <a:avLst/>
                    </a:prstGeom>
                  </pic:spPr>
                </pic:pic>
              </a:graphicData>
            </a:graphic>
          </wp:anchor>
        </w:drawing>
      </w:r>
    </w:p>
    <w:p w14:paraId="45B910C7">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55A99583">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05F27982">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3205B9DC">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542337E0">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389AA6E3">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73924E7A">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6C779CAC">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7561FA01">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4D238D5A">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46821045">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01D17B4C">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00047374">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288B53DD">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5741EE66">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051C456B">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5571E450">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79865AF5">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5F8A755B">
      <w:pPr>
        <w:keepNext w:val="0"/>
        <w:keepLines w:val="0"/>
        <w:widowControl/>
        <w:suppressLineNumbers w:val="0"/>
        <w:jc w:val="both"/>
        <w:rPr>
          <w:rFonts w:hint="default" w:ascii="Times New Roman" w:hAnsi="Times New Roman" w:eastAsia="Times New Roman" w:cs="Times New Roman"/>
          <w:szCs w:val="24"/>
          <w:lang w:val="en-US" w:eastAsia="zh-CN" w:bidi="ar-SA"/>
        </w:rPr>
      </w:pPr>
    </w:p>
    <w:p w14:paraId="085A7A4E">
      <w:pPr>
        <w:ind w:left="720"/>
        <w:jc w:val="both"/>
        <w:rPr>
          <w:rFonts w:hint="default" w:ascii="Times New Roman" w:hAnsi="Times New Roman" w:cs="Times New Roman"/>
          <w:sz w:val="20"/>
          <w:szCs w:val="20"/>
        </w:rPr>
      </w:pPr>
      <w:r>
        <w:rPr>
          <w:rFonts w:hint="default" w:ascii="Times New Roman" w:hAnsi="Times New Roman" w:cs="Times New Roman"/>
          <w:sz w:val="20"/>
          <w:szCs w:val="20"/>
        </w:rPr>
        <w:t xml:space="preserve">Figure </w:t>
      </w:r>
      <w:r>
        <w:rPr>
          <w:rFonts w:hint="default" w:cs="Times New Roman"/>
          <w:sz w:val="20"/>
          <w:szCs w:val="20"/>
          <w:lang w:val="en-US"/>
        </w:rPr>
        <w:t>6</w:t>
      </w:r>
      <w:r>
        <w:rPr>
          <w:rFonts w:hint="default" w:ascii="Times New Roman" w:hAnsi="Times New Roman" w:cs="Times New Roman"/>
          <w:sz w:val="20"/>
          <w:szCs w:val="20"/>
        </w:rPr>
        <w:t xml:space="preserve">: </w:t>
      </w:r>
      <w:r>
        <w:rPr>
          <w:rFonts w:hint="default" w:cs="Times New Roman"/>
          <w:sz w:val="20"/>
          <w:szCs w:val="20"/>
          <w:lang w:val="en-US"/>
        </w:rPr>
        <w:t xml:space="preserve">Apoptosis mechanism </w:t>
      </w:r>
      <w:r>
        <w:rPr>
          <w:rFonts w:hint="default" w:ascii="Times New Roman" w:hAnsi="Times New Roman" w:cs="Times New Roman"/>
          <w:sz w:val="20"/>
          <w:szCs w:val="20"/>
        </w:rPr>
        <w:t>of breast cancer cells (MCF7) of HB</w:t>
      </w:r>
      <w:r>
        <w:rPr>
          <w:rFonts w:hint="default" w:ascii="Times New Roman" w:hAnsi="Times New Roman" w:cs="Times New Roman"/>
          <w:sz w:val="20"/>
          <w:szCs w:val="20"/>
          <w:lang w:val="en-US"/>
        </w:rPr>
        <w:t xml:space="preserve">, Quer, </w:t>
      </w:r>
      <w:r>
        <w:rPr>
          <w:rFonts w:hint="default" w:ascii="Times New Roman" w:hAnsi="Times New Roman" w:cs="Times New Roman"/>
          <w:sz w:val="20"/>
          <w:szCs w:val="20"/>
        </w:rPr>
        <w:t xml:space="preserve">and </w:t>
      </w:r>
      <w:r>
        <w:rPr>
          <w:rFonts w:hint="default" w:ascii="Times New Roman" w:hAnsi="Times New Roman" w:cs="Times New Roman"/>
          <w:sz w:val="20"/>
          <w:szCs w:val="20"/>
          <w:lang w:val="en-US"/>
        </w:rPr>
        <w:t xml:space="preserve">their </w:t>
      </w:r>
      <w:r>
        <w:rPr>
          <w:rFonts w:hint="default" w:ascii="Times New Roman" w:hAnsi="Times New Roman" w:cs="Times New Roman"/>
          <w:sz w:val="20"/>
          <w:szCs w:val="20"/>
        </w:rPr>
        <w:t xml:space="preserve">PDT treatment. </w:t>
      </w:r>
    </w:p>
    <w:p w14:paraId="5E346AC0">
      <w:pPr>
        <w:pStyle w:val="2"/>
        <w:numPr>
          <w:ilvl w:val="0"/>
          <w:numId w:val="0"/>
        </w:numPr>
        <w:ind w:left="57" w:leftChars="0" w:right="57" w:rightChars="0"/>
      </w:pPr>
      <w:r>
        <w:rPr>
          <w:rFonts w:hint="default"/>
          <w:lang w:val="en-US"/>
        </w:rPr>
        <w:t>4</w:t>
      </w:r>
      <w:r>
        <w:rPr>
          <w:rFonts w:hint="default"/>
          <w:lang w:val="en-US"/>
        </w:rPr>
        <w:tab/>
      </w:r>
      <w:r>
        <w:rPr>
          <w:rFonts w:hint="default"/>
          <w:lang w:val="en-US"/>
        </w:rPr>
        <w:t>Conclus</w:t>
      </w:r>
      <w:r>
        <w:t>ion</w:t>
      </w:r>
    </w:p>
    <w:p w14:paraId="2D177820">
      <w:pPr>
        <w:ind w:left="0" w:leftChars="0" w:firstLine="0" w:firstLineChars="0"/>
        <w:jc w:val="both"/>
      </w:pPr>
    </w:p>
    <w:p w14:paraId="4C9B3D21">
      <w:pPr>
        <w:jc w:val="both"/>
        <w:rPr>
          <w:rFonts w:hint="default" w:ascii="Times New Roman" w:hAnsi="Times New Roman" w:eastAsia="Times New Roman"/>
          <w:szCs w:val="24"/>
          <w:lang w:val="en-US" w:eastAsia="zh-CN"/>
        </w:rPr>
      </w:pPr>
      <w:r>
        <w:rPr>
          <w:rFonts w:hint="default" w:ascii="Times New Roman" w:hAnsi="Times New Roman" w:eastAsia="Times New Roman"/>
          <w:szCs w:val="24"/>
          <w:lang w:val="en-US" w:eastAsia="zh-CN"/>
        </w:rPr>
        <w:t xml:space="preserve">To </w:t>
      </w:r>
      <w:r>
        <w:rPr>
          <w:rFonts w:hint="default"/>
          <w:szCs w:val="24"/>
          <w:lang w:val="en-US" w:eastAsia="zh-CN"/>
        </w:rPr>
        <w:t>conclude</w:t>
      </w:r>
      <w:r>
        <w:rPr>
          <w:rFonts w:hint="default" w:ascii="Times New Roman" w:hAnsi="Times New Roman" w:eastAsia="Times New Roman"/>
          <w:szCs w:val="24"/>
          <w:lang w:val="en-US" w:eastAsia="zh-CN"/>
        </w:rPr>
        <w:t>, our research highlights the promise of HB and Quer as a powerful enhancer of PDT for treating human breast cancer. A series of biochemical assays, including MTT, LDH, cell proliferation, intracellular ROS measurements, MMP, and apoptosis mechanism, demonstrate that the synergistic effect of HB, Quer, combination, and their-PDT significantly enhances cytotoxicity against breast cancer cells. This synergism seems to be driven by the induction of intracellular ROS accumulation, which enhances anticancer activity. These findings underscore the therapeutic potential of HB-PDT combinations and advocate for additional in vivo studies to investigate their clinical applicability and safety profiles in breast cancer management.</w:t>
      </w:r>
    </w:p>
    <w:p w14:paraId="3C58A7AF">
      <w:pPr>
        <w:jc w:val="both"/>
        <w:rPr>
          <w:rFonts w:hint="default" w:ascii="Times New Roman" w:hAnsi="Times New Roman" w:eastAsia="Times New Roman"/>
          <w:szCs w:val="24"/>
          <w:lang w:val="en-US" w:eastAsia="zh-CN"/>
        </w:rPr>
      </w:pPr>
    </w:p>
    <w:p w14:paraId="5487FD7C">
      <w:pPr>
        <w:jc w:val="both"/>
        <w:rPr>
          <w:rFonts w:ascii="Times New Roman" w:hAnsi="Times New Roman" w:eastAsia="Times New Roman" w:cs="Times New Roman"/>
          <w:b/>
          <w:bCs/>
          <w:spacing w:val="-2"/>
          <w:szCs w:val="20"/>
          <w:lang w:val="en-US" w:eastAsia="en-US" w:bidi="ar-SA"/>
        </w:rPr>
      </w:pPr>
      <w:r>
        <w:rPr>
          <w:rFonts w:ascii="Times New Roman" w:hAnsi="Times New Roman" w:eastAsia="Times New Roman" w:cs="Times New Roman"/>
          <w:b/>
          <w:bCs/>
          <w:spacing w:val="-2"/>
          <w:szCs w:val="20"/>
          <w:lang w:val="en-US" w:eastAsia="en-US" w:bidi="ar-SA"/>
        </w:rPr>
        <w:t>Acknowledgements</w:t>
      </w:r>
    </w:p>
    <w:p w14:paraId="07E509A1">
      <w:pPr>
        <w:jc w:val="both"/>
        <w:rPr>
          <w:rFonts w:ascii="Times New Roman" w:hAnsi="Times New Roman" w:eastAsia="Times New Roman" w:cs="Times New Roman"/>
          <w:b/>
          <w:bCs/>
          <w:spacing w:val="-2"/>
          <w:szCs w:val="20"/>
          <w:lang w:val="en-US" w:eastAsia="en-US" w:bidi="ar-SA"/>
        </w:rPr>
      </w:pPr>
    </w:p>
    <w:p w14:paraId="2F87DEAA">
      <w:pPr>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cs="Times New Roman"/>
          <w:szCs w:val="24"/>
          <w:lang w:val="en-US" w:eastAsia="zh-CN" w:bidi="ar-SA"/>
        </w:rPr>
        <w:t xml:space="preserve">The authors extend their gratitude to </w:t>
      </w:r>
      <w:r>
        <w:rPr>
          <w:rFonts w:hint="default" w:cs="Times New Roman"/>
          <w:color w:val="FFFFFF" w:themeColor="background1"/>
          <w:szCs w:val="24"/>
          <w:lang w:val="en-US" w:eastAsia="zh-CN" w:bidi="ar-SA"/>
          <w14:textFill>
            <w14:solidFill>
              <w14:schemeClr w14:val="bg1"/>
            </w14:solidFill>
          </w14:textFill>
        </w:rPr>
        <w:t>‘</w:t>
      </w:r>
      <w:r>
        <w:rPr>
          <w:rFonts w:hint="default" w:ascii="Times New Roman" w:hAnsi="Times New Roman" w:eastAsia="Times New Roman" w:cs="Times New Roman"/>
          <w:szCs w:val="24"/>
          <w:lang w:val="en-US" w:eastAsia="zh-CN" w:bidi="ar-SA"/>
        </w:rPr>
        <w:t>the University of Johannesburg and the Laser Research Centre for their valuable contributions to this review. They also acknowledge the support received from the South African Research Chairs Initiative of the Department of Science and Technology and the National Research Foundation of South Africa (SARChI/NRF-DST) under Grant No. 98337.</w:t>
      </w:r>
      <w:r>
        <w:rPr>
          <w:rFonts w:hint="default" w:cs="Times New Roman"/>
          <w:color w:val="FFFFFF" w:themeColor="background1"/>
          <w:szCs w:val="24"/>
          <w:lang w:val="en-US" w:eastAsia="zh-CN" w:bidi="ar-SA"/>
          <w14:textFill>
            <w14:solidFill>
              <w14:schemeClr w14:val="bg1"/>
            </w14:solidFill>
          </w14:textFill>
        </w:rPr>
        <w:t>’</w:t>
      </w:r>
    </w:p>
    <w:p w14:paraId="3EECF721">
      <w:pPr>
        <w:pStyle w:val="51"/>
      </w:pPr>
      <w:r>
        <w:t>References</w:t>
      </w:r>
    </w:p>
    <w:p w14:paraId="0F2AC41C">
      <w:pPr>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cs="Times New Roman"/>
          <w:szCs w:val="24"/>
          <w:lang w:val="en-US" w:eastAsia="zh-CN" w:bidi="ar-SA"/>
        </w:rPr>
        <w:t>[1]</w:t>
      </w:r>
      <w:r>
        <w:rPr>
          <w:rFonts w:hint="default" w:cs="Times New Roman"/>
          <w:szCs w:val="24"/>
          <w:lang w:val="en-US" w:eastAsia="zh-CN" w:bidi="ar-SA"/>
        </w:rPr>
        <w:tab/>
      </w:r>
      <w:r>
        <w:rPr>
          <w:rFonts w:hint="default" w:ascii="Times New Roman" w:hAnsi="Times New Roman" w:eastAsia="Times New Roman" w:cs="Times New Roman"/>
          <w:szCs w:val="24"/>
          <w:lang w:val="en-US" w:eastAsia="zh-CN" w:bidi="ar-SA"/>
        </w:rPr>
        <w:t>World Health Organization. Cancer Tommorow</w:t>
      </w:r>
      <w:r>
        <w:rPr>
          <w:rFonts w:hint="default" w:cs="Times New Roman"/>
          <w:szCs w:val="24"/>
          <w:lang w:val="en-US" w:eastAsia="zh-CN" w:bidi="ar-SA"/>
        </w:rPr>
        <w:t>,</w:t>
      </w:r>
      <w:r>
        <w:rPr>
          <w:rFonts w:hint="default" w:ascii="Times New Roman" w:hAnsi="Times New Roman" w:eastAsia="Times New Roman" w:cs="Times New Roman"/>
          <w:szCs w:val="24"/>
          <w:lang w:val="en-US" w:eastAsia="zh-CN" w:bidi="ar-SA"/>
        </w:rPr>
        <w:t xml:space="preserve"> Https://GcoIarcFr/Tomorrow/En 2020.</w:t>
      </w:r>
    </w:p>
    <w:p w14:paraId="69121DE0">
      <w:pPr>
        <w:ind w:left="756" w:leftChars="28" w:hanging="700" w:hangingChars="35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cs="Times New Roman"/>
          <w:szCs w:val="24"/>
          <w:lang w:val="en-US" w:eastAsia="zh-CN" w:bidi="ar-SA"/>
        </w:rPr>
        <w:t>[2]</w:t>
      </w:r>
      <w:r>
        <w:rPr>
          <w:rFonts w:hint="default" w:cs="Times New Roman"/>
          <w:szCs w:val="24"/>
          <w:lang w:val="en-US" w:eastAsia="zh-CN" w:bidi="ar-SA"/>
        </w:rPr>
        <w:tab/>
      </w:r>
      <w:r>
        <w:rPr>
          <w:rFonts w:hint="default" w:cs="Times New Roman"/>
          <w:szCs w:val="24"/>
          <w:lang w:val="en-US" w:eastAsia="zh-CN" w:bidi="ar-SA"/>
        </w:rPr>
        <w:t xml:space="preserve">Y-S. </w:t>
      </w:r>
      <w:r>
        <w:rPr>
          <w:rFonts w:hint="default" w:ascii="Times New Roman" w:hAnsi="Times New Roman" w:eastAsia="Times New Roman" w:cs="Times New Roman"/>
          <w:szCs w:val="24"/>
          <w:lang w:val="en-US" w:eastAsia="zh-CN" w:bidi="ar-SA"/>
        </w:rPr>
        <w:t>Sun</w:t>
      </w:r>
      <w:r>
        <w:rPr>
          <w:rFonts w:hint="default" w:cs="Times New Roman"/>
          <w:szCs w:val="24"/>
          <w:lang w:val="en-US" w:eastAsia="zh-CN" w:bidi="ar-SA"/>
        </w:rPr>
        <w:t xml:space="preserve">, Z. </w:t>
      </w:r>
      <w:r>
        <w:rPr>
          <w:rFonts w:hint="default" w:ascii="Times New Roman" w:hAnsi="Times New Roman" w:eastAsia="Times New Roman" w:cs="Times New Roman"/>
          <w:szCs w:val="24"/>
          <w:lang w:val="en-US" w:eastAsia="zh-CN" w:bidi="ar-SA"/>
        </w:rPr>
        <w:t xml:space="preserve">Zhao, </w:t>
      </w:r>
      <w:r>
        <w:rPr>
          <w:rFonts w:hint="default" w:cs="Times New Roman"/>
          <w:szCs w:val="24"/>
          <w:lang w:val="en-US" w:eastAsia="zh-CN" w:bidi="ar-SA"/>
        </w:rPr>
        <w:t xml:space="preserve">Z-N. </w:t>
      </w:r>
      <w:r>
        <w:rPr>
          <w:rFonts w:hint="default" w:ascii="Times New Roman" w:hAnsi="Times New Roman" w:eastAsia="Times New Roman" w:cs="Times New Roman"/>
          <w:szCs w:val="24"/>
          <w:lang w:val="en-US" w:eastAsia="zh-CN" w:bidi="ar-SA"/>
        </w:rPr>
        <w:t xml:space="preserve">Yang, </w:t>
      </w:r>
      <w:r>
        <w:rPr>
          <w:rFonts w:hint="default" w:cs="Times New Roman"/>
          <w:szCs w:val="24"/>
          <w:lang w:val="en-US" w:eastAsia="zh-CN" w:bidi="ar-SA"/>
        </w:rPr>
        <w:t xml:space="preserve">F. </w:t>
      </w:r>
      <w:r>
        <w:rPr>
          <w:rFonts w:hint="default" w:ascii="Times New Roman" w:hAnsi="Times New Roman" w:eastAsia="Times New Roman" w:cs="Times New Roman"/>
          <w:szCs w:val="24"/>
          <w:lang w:val="en-US" w:eastAsia="zh-CN" w:bidi="ar-SA"/>
        </w:rPr>
        <w:t xml:space="preserve">Xu, </w:t>
      </w:r>
      <w:r>
        <w:rPr>
          <w:rFonts w:hint="default" w:cs="Times New Roman"/>
          <w:szCs w:val="24"/>
          <w:lang w:val="en-US" w:eastAsia="zh-CN" w:bidi="ar-SA"/>
        </w:rPr>
        <w:t xml:space="preserve">H-J. </w:t>
      </w:r>
      <w:r>
        <w:rPr>
          <w:rFonts w:hint="default" w:ascii="Times New Roman" w:hAnsi="Times New Roman" w:eastAsia="Times New Roman" w:cs="Times New Roman"/>
          <w:szCs w:val="24"/>
          <w:lang w:val="en-US" w:eastAsia="zh-CN" w:bidi="ar-SA"/>
        </w:rPr>
        <w:t xml:space="preserve">Lu, </w:t>
      </w:r>
      <w:r>
        <w:rPr>
          <w:rFonts w:hint="default" w:cs="Times New Roman"/>
          <w:szCs w:val="24"/>
          <w:lang w:val="en-US" w:eastAsia="zh-CN" w:bidi="ar-SA"/>
        </w:rPr>
        <w:t xml:space="preserve">Z-Y. </w:t>
      </w:r>
      <w:r>
        <w:rPr>
          <w:rFonts w:hint="default" w:ascii="Times New Roman" w:hAnsi="Times New Roman" w:eastAsia="Times New Roman" w:cs="Times New Roman"/>
          <w:szCs w:val="24"/>
          <w:lang w:val="en-US" w:eastAsia="zh-CN" w:bidi="ar-SA"/>
        </w:rPr>
        <w:t>Zhu, et al.</w:t>
      </w:r>
      <w:r>
        <w:t>, "</w:t>
      </w:r>
      <w:r>
        <w:rPr>
          <w:rFonts w:hint="default" w:ascii="Times New Roman" w:hAnsi="Times New Roman" w:eastAsia="Times New Roman" w:cs="Times New Roman"/>
          <w:szCs w:val="24"/>
          <w:lang w:val="en-US" w:eastAsia="zh-CN" w:bidi="ar-SA"/>
        </w:rPr>
        <w:t>Risk Factors and Preventions of Breast Cancer</w:t>
      </w:r>
      <w:r>
        <w:t>,"</w:t>
      </w:r>
      <w:r>
        <w:rPr>
          <w:rFonts w:hint="default"/>
          <w:lang w:val="en-US"/>
        </w:rPr>
        <w:t xml:space="preserve"> </w:t>
      </w:r>
      <w:r>
        <w:rPr>
          <w:rFonts w:hint="default" w:ascii="Times New Roman" w:hAnsi="Times New Roman" w:eastAsia="Times New Roman" w:cs="Times New Roman"/>
          <w:i/>
          <w:iCs/>
          <w:szCs w:val="24"/>
          <w:lang w:val="en-US" w:eastAsia="zh-CN" w:bidi="ar-SA"/>
        </w:rPr>
        <w:t>Int</w:t>
      </w:r>
      <w:r>
        <w:rPr>
          <w:rFonts w:hint="default" w:cs="Times New Roman"/>
          <w:i/>
          <w:iCs/>
          <w:szCs w:val="24"/>
          <w:lang w:val="en-US" w:eastAsia="zh-CN" w:bidi="ar-SA"/>
        </w:rPr>
        <w:t xml:space="preserve">ernational </w:t>
      </w:r>
      <w:r>
        <w:rPr>
          <w:rFonts w:hint="default" w:ascii="Times New Roman" w:hAnsi="Times New Roman" w:eastAsia="Times New Roman" w:cs="Times New Roman"/>
          <w:i/>
          <w:iCs/>
          <w:szCs w:val="24"/>
          <w:lang w:val="en-US" w:eastAsia="zh-CN" w:bidi="ar-SA"/>
        </w:rPr>
        <w:t>J</w:t>
      </w:r>
      <w:r>
        <w:rPr>
          <w:rFonts w:hint="default" w:cs="Times New Roman"/>
          <w:i/>
          <w:iCs/>
          <w:szCs w:val="24"/>
          <w:lang w:val="en-US" w:eastAsia="zh-CN" w:bidi="ar-SA"/>
        </w:rPr>
        <w:t>ournal of</w:t>
      </w:r>
      <w:r>
        <w:rPr>
          <w:rFonts w:hint="default" w:ascii="Times New Roman" w:hAnsi="Times New Roman" w:eastAsia="Times New Roman" w:cs="Times New Roman"/>
          <w:i/>
          <w:iCs/>
          <w:szCs w:val="24"/>
          <w:lang w:val="en-US" w:eastAsia="zh-CN" w:bidi="ar-SA"/>
        </w:rPr>
        <w:t xml:space="preserve"> Biol</w:t>
      </w:r>
      <w:r>
        <w:rPr>
          <w:rFonts w:hint="default" w:cs="Times New Roman"/>
          <w:i/>
          <w:iCs/>
          <w:szCs w:val="24"/>
          <w:lang w:val="en-US" w:eastAsia="zh-CN" w:bidi="ar-SA"/>
        </w:rPr>
        <w:t>ogical</w:t>
      </w:r>
      <w:r>
        <w:rPr>
          <w:rFonts w:hint="default" w:ascii="Times New Roman" w:hAnsi="Times New Roman" w:eastAsia="Times New Roman" w:cs="Times New Roman"/>
          <w:i/>
          <w:iCs/>
          <w:szCs w:val="24"/>
          <w:lang w:val="en-US" w:eastAsia="zh-CN" w:bidi="ar-SA"/>
        </w:rPr>
        <w:t xml:space="preserve"> Sci</w:t>
      </w:r>
      <w:r>
        <w:rPr>
          <w:rFonts w:hint="default" w:cs="Times New Roman"/>
          <w:i/>
          <w:iCs/>
          <w:szCs w:val="24"/>
          <w:lang w:val="en-US" w:eastAsia="zh-CN" w:bidi="ar-SA"/>
        </w:rPr>
        <w:t>ence,</w:t>
      </w:r>
      <w:r>
        <w:rPr>
          <w:rFonts w:hint="default" w:cs="Times New Roman"/>
          <w:szCs w:val="24"/>
          <w:lang w:val="en-US" w:eastAsia="zh-CN" w:bidi="ar-SA"/>
        </w:rPr>
        <w:t xml:space="preserve"> vol. 13, pp. </w:t>
      </w:r>
      <w:r>
        <w:rPr>
          <w:rFonts w:hint="default" w:ascii="Times New Roman" w:hAnsi="Times New Roman" w:eastAsia="Times New Roman" w:cs="Times New Roman"/>
          <w:szCs w:val="24"/>
          <w:lang w:val="en-US" w:eastAsia="zh-CN" w:bidi="ar-SA"/>
        </w:rPr>
        <w:t>1387–</w:t>
      </w:r>
      <w:r>
        <w:rPr>
          <w:rFonts w:hint="default" w:cs="Times New Roman"/>
          <w:szCs w:val="24"/>
          <w:lang w:val="en-US" w:eastAsia="zh-CN" w:bidi="ar-SA"/>
        </w:rPr>
        <w:t>13</w:t>
      </w:r>
      <w:r>
        <w:rPr>
          <w:rFonts w:hint="default" w:ascii="Times New Roman" w:hAnsi="Times New Roman" w:eastAsia="Times New Roman" w:cs="Times New Roman"/>
          <w:szCs w:val="24"/>
          <w:lang w:val="en-US" w:eastAsia="zh-CN" w:bidi="ar-SA"/>
        </w:rPr>
        <w:t>97</w:t>
      </w:r>
      <w:r>
        <w:rPr>
          <w:rFonts w:hint="default" w:cs="Times New Roman"/>
          <w:szCs w:val="24"/>
          <w:lang w:val="en-US" w:eastAsia="zh-CN" w:bidi="ar-SA"/>
        </w:rPr>
        <w:t>, 2017,</w:t>
      </w:r>
      <w:r>
        <w:rPr>
          <w:rFonts w:hint="default" w:ascii="Times New Roman" w:hAnsi="Times New Roman" w:eastAsia="Times New Roman" w:cs="Times New Roman"/>
          <w:szCs w:val="24"/>
          <w:lang w:val="en-US" w:eastAsia="zh-CN" w:bidi="ar-SA"/>
        </w:rPr>
        <w:t xml:space="preserve">. </w:t>
      </w:r>
      <w:r>
        <w:rPr>
          <w:rFonts w:hint="default" w:cs="Times New Roman"/>
          <w:szCs w:val="24"/>
          <w:lang w:val="en-US" w:eastAsia="zh-CN" w:bidi="ar-SA"/>
        </w:rPr>
        <w:t>doi</w:t>
      </w: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ascii="Times New Roman" w:hAnsi="Times New Roman" w:eastAsia="Times New Roman" w:cs="Times New Roman"/>
          <w:szCs w:val="24"/>
          <w:lang w:val="en-US" w:eastAsia="zh-CN" w:bidi="ar-SA"/>
        </w:rPr>
        <w:t>https://doi.org/10.7150/ijbs.21635</w:t>
      </w:r>
    </w:p>
    <w:p w14:paraId="2A6BFDA1">
      <w:pPr>
        <w:ind w:left="756" w:leftChars="28" w:hanging="700" w:hangingChars="35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cs="Times New Roman"/>
          <w:szCs w:val="24"/>
          <w:lang w:val="en-US" w:eastAsia="zh-CN" w:bidi="ar-SA"/>
        </w:rPr>
        <w:t>[3</w:t>
      </w:r>
      <w:r>
        <w:rPr>
          <w:rFonts w:hint="default" w:cs="Times New Roman"/>
          <w:szCs w:val="24"/>
          <w:lang w:val="en-US" w:eastAsia="zh-CN" w:bidi="ar-SA"/>
        </w:rPr>
        <w:t xml:space="preserve">]       J. P. J. </w:t>
      </w:r>
      <w:r>
        <w:rPr>
          <w:rFonts w:hint="default" w:ascii="Times New Roman" w:hAnsi="Times New Roman" w:eastAsia="Times New Roman" w:cs="Times New Roman"/>
          <w:szCs w:val="24"/>
          <w:lang w:val="en-US" w:eastAsia="zh-CN" w:bidi="ar-SA"/>
        </w:rPr>
        <w:t xml:space="preserve">Merlin, </w:t>
      </w:r>
      <w:r>
        <w:rPr>
          <w:rFonts w:hint="default" w:cs="Times New Roman"/>
          <w:szCs w:val="24"/>
          <w:lang w:val="en-US" w:eastAsia="zh-CN" w:bidi="ar-SA"/>
        </w:rPr>
        <w:t xml:space="preserve">S. </w:t>
      </w:r>
      <w:r>
        <w:rPr>
          <w:rFonts w:hint="default" w:ascii="Times New Roman" w:hAnsi="Times New Roman" w:eastAsia="Times New Roman" w:cs="Times New Roman"/>
          <w:szCs w:val="24"/>
          <w:lang w:val="en-US" w:eastAsia="zh-CN" w:bidi="ar-SA"/>
        </w:rPr>
        <w:t xml:space="preserve">Mathavarajah, </w:t>
      </w:r>
      <w:r>
        <w:rPr>
          <w:rFonts w:hint="default" w:cs="Times New Roman"/>
          <w:szCs w:val="24"/>
          <w:lang w:val="en-US" w:eastAsia="zh-CN" w:bidi="ar-SA"/>
        </w:rPr>
        <w:t xml:space="preserve">G. </w:t>
      </w:r>
      <w:r>
        <w:rPr>
          <w:rFonts w:hint="default" w:ascii="Times New Roman" w:hAnsi="Times New Roman" w:eastAsia="Times New Roman" w:cs="Times New Roman"/>
          <w:szCs w:val="24"/>
          <w:lang w:val="en-US" w:eastAsia="zh-CN" w:bidi="ar-SA"/>
        </w:rPr>
        <w:t xml:space="preserve">Dellaire, </w:t>
      </w:r>
      <w:r>
        <w:rPr>
          <w:rFonts w:hint="default" w:cs="Times New Roman"/>
          <w:szCs w:val="24"/>
          <w:lang w:val="en-US" w:eastAsia="zh-CN" w:bidi="ar-SA"/>
        </w:rPr>
        <w:t xml:space="preserve">K. P. J. </w:t>
      </w:r>
      <w:r>
        <w:rPr>
          <w:rFonts w:hint="default" w:ascii="Times New Roman" w:hAnsi="Times New Roman" w:eastAsia="Times New Roman" w:cs="Times New Roman"/>
          <w:szCs w:val="24"/>
          <w:lang w:val="en-US" w:eastAsia="zh-CN" w:bidi="ar-SA"/>
        </w:rPr>
        <w:t>Murphy,</w:t>
      </w:r>
      <w:r>
        <w:rPr>
          <w:rFonts w:hint="default" w:cs="Times New Roman"/>
          <w:szCs w:val="24"/>
          <w:lang w:val="en-US" w:eastAsia="zh-CN" w:bidi="ar-SA"/>
        </w:rPr>
        <w:t xml:space="preserve"> and</w:t>
      </w:r>
      <w:r>
        <w:rPr>
          <w:rFonts w:hint="default" w:ascii="Times New Roman" w:hAnsi="Times New Roman" w:eastAsia="Times New Roman" w:cs="Times New Roman"/>
          <w:szCs w:val="24"/>
          <w:lang w:val="en-US" w:eastAsia="zh-CN" w:bidi="ar-SA"/>
        </w:rPr>
        <w:t xml:space="preserve"> </w:t>
      </w:r>
      <w:r>
        <w:rPr>
          <w:rFonts w:hint="default" w:cs="Times New Roman"/>
          <w:szCs w:val="24"/>
          <w:lang w:val="en-US" w:eastAsia="zh-CN" w:bidi="ar-SA"/>
        </w:rPr>
        <w:t xml:space="preserve">H. P. V. </w:t>
      </w:r>
      <w:r>
        <w:rPr>
          <w:rFonts w:hint="default" w:ascii="Times New Roman" w:hAnsi="Times New Roman" w:eastAsia="Times New Roman" w:cs="Times New Roman"/>
          <w:szCs w:val="24"/>
          <w:lang w:val="en-US" w:eastAsia="zh-CN" w:bidi="ar-SA"/>
        </w:rPr>
        <w:t>Rupasinghe</w:t>
      </w:r>
      <w:r>
        <w:t>, "</w:t>
      </w:r>
      <w:r>
        <w:rPr>
          <w:rFonts w:hint="default" w:ascii="Times New Roman" w:hAnsi="Times New Roman" w:eastAsia="Times New Roman" w:cs="Times New Roman"/>
          <w:szCs w:val="24"/>
          <w:lang w:val="en-US" w:eastAsia="zh-CN" w:bidi="ar-SA"/>
        </w:rPr>
        <w:t xml:space="preserve">A Dietary </w:t>
      </w:r>
      <w:r>
        <w:rPr>
          <w:rFonts w:hint="default" w:cs="Times New Roman"/>
          <w:szCs w:val="24"/>
          <w:lang w:val="en-US" w:eastAsia="zh-CN" w:bidi="ar-SA"/>
        </w:rPr>
        <w:t xml:space="preserve">               </w:t>
      </w:r>
      <w:r>
        <w:rPr>
          <w:rFonts w:hint="default" w:ascii="Times New Roman" w:hAnsi="Times New Roman" w:eastAsia="Times New Roman" w:cs="Times New Roman"/>
          <w:szCs w:val="24"/>
          <w:lang w:val="en-US" w:eastAsia="zh-CN" w:bidi="ar-SA"/>
        </w:rPr>
        <w:t>Antioxidant Formulation Ameliorates DNA Damage Caused by γ-Irradiation in Normal Human Bronchial Epithelial Cells In Vitro</w:t>
      </w:r>
      <w:r>
        <w:t>,"</w:t>
      </w:r>
      <w:r>
        <w:rPr>
          <w:rFonts w:hint="default"/>
          <w:lang w:val="en-US"/>
        </w:rPr>
        <w:t xml:space="preserve"> </w:t>
      </w:r>
      <w:r>
        <w:rPr>
          <w:rFonts w:hint="default" w:ascii="Times New Roman" w:hAnsi="Times New Roman" w:eastAsia="Times New Roman" w:cs="Times New Roman"/>
          <w:i/>
          <w:iCs/>
          <w:szCs w:val="24"/>
          <w:lang w:val="en-US" w:eastAsia="zh-CN" w:bidi="ar-SA"/>
        </w:rPr>
        <w:t>Antioxidants</w:t>
      </w:r>
      <w:r>
        <w:rPr>
          <w:rFonts w:hint="default" w:cs="Times New Roman"/>
          <w:szCs w:val="24"/>
          <w:lang w:val="en-US" w:eastAsia="zh-CN" w:bidi="ar-SA"/>
        </w:rPr>
        <w:t>,</w:t>
      </w:r>
      <w:r>
        <w:rPr>
          <w:rFonts w:hint="default" w:ascii="Times New Roman" w:hAnsi="Times New Roman" w:eastAsia="Times New Roman" w:cs="Times New Roman"/>
          <w:szCs w:val="24"/>
          <w:lang w:val="en-US" w:eastAsia="zh-CN" w:bidi="ar-SA"/>
        </w:rPr>
        <w:t xml:space="preserve"> </w:t>
      </w:r>
      <w:r>
        <w:rPr>
          <w:rFonts w:hint="default" w:cs="Times New Roman"/>
          <w:szCs w:val="24"/>
          <w:lang w:val="en-US" w:eastAsia="zh-CN" w:bidi="ar-SA"/>
        </w:rPr>
        <w:t xml:space="preserve">vol. </w:t>
      </w:r>
      <w:r>
        <w:rPr>
          <w:rFonts w:hint="default" w:ascii="Times New Roman" w:hAnsi="Times New Roman" w:eastAsia="Times New Roman" w:cs="Times New Roman"/>
          <w:szCs w:val="24"/>
          <w:lang w:val="en-US" w:eastAsia="zh-CN" w:bidi="ar-SA"/>
        </w:rPr>
        <w:t>11</w:t>
      </w:r>
      <w:r>
        <w:rPr>
          <w:rFonts w:hint="default" w:cs="Times New Roman"/>
          <w:szCs w:val="24"/>
          <w:lang w:val="en-US" w:eastAsia="zh-CN" w:bidi="ar-SA"/>
        </w:rPr>
        <w:t>, no. 1407, 2022, doi</w:t>
      </w: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ascii="Times New Roman" w:hAnsi="Times New Roman" w:eastAsia="Times New Roman" w:cs="Times New Roman"/>
          <w:szCs w:val="24"/>
          <w:lang w:val="en-US" w:eastAsia="zh-CN" w:bidi="ar-SA"/>
        </w:rPr>
        <w:t>https://doi.org/10.3390/antiox11071407.</w:t>
      </w:r>
    </w:p>
    <w:p w14:paraId="7B2D06B0">
      <w:pPr>
        <w:ind w:left="756" w:leftChars="28" w:hanging="700" w:hangingChars="35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cs="Times New Roman"/>
          <w:szCs w:val="24"/>
          <w:lang w:val="en-US" w:eastAsia="zh-CN" w:bidi="ar-SA"/>
        </w:rPr>
        <w:t>[4]</w:t>
      </w:r>
      <w:r>
        <w:rPr>
          <w:rFonts w:hint="default" w:cs="Times New Roman"/>
          <w:szCs w:val="24"/>
          <w:lang w:val="en-US" w:eastAsia="zh-CN" w:bidi="ar-SA"/>
        </w:rPr>
        <w:t xml:space="preserve">     </w:t>
      </w:r>
      <w:r>
        <w:rPr>
          <w:rFonts w:hint="default" w:ascii="Times New Roman" w:hAnsi="Times New Roman" w:eastAsia="Times New Roman" w:cs="Times New Roman"/>
          <w:szCs w:val="24"/>
          <w:lang w:val="en-US" w:eastAsia="zh-CN" w:bidi="ar-SA"/>
        </w:rPr>
        <w:tab/>
      </w:r>
      <w:r>
        <w:rPr>
          <w:rFonts w:hint="default" w:cs="Times New Roman"/>
          <w:szCs w:val="24"/>
          <w:lang w:val="en-US" w:eastAsia="zh-CN" w:bidi="ar-SA"/>
        </w:rPr>
        <w:t xml:space="preserve">T. L. </w:t>
      </w:r>
      <w:r>
        <w:rPr>
          <w:rFonts w:hint="default" w:ascii="Times New Roman" w:hAnsi="Times New Roman" w:eastAsia="Times New Roman" w:cs="Times New Roman"/>
          <w:szCs w:val="24"/>
          <w:lang w:val="en-US" w:eastAsia="zh-CN" w:bidi="ar-SA"/>
        </w:rPr>
        <w:t xml:space="preserve">Suraweera, </w:t>
      </w:r>
      <w:r>
        <w:rPr>
          <w:rFonts w:hint="default" w:cs="Times New Roman"/>
          <w:szCs w:val="24"/>
          <w:lang w:val="en-US" w:eastAsia="zh-CN" w:bidi="ar-SA"/>
        </w:rPr>
        <w:t xml:space="preserve">J. P. J. </w:t>
      </w:r>
      <w:r>
        <w:rPr>
          <w:rFonts w:hint="default" w:ascii="Times New Roman" w:hAnsi="Times New Roman" w:eastAsia="Times New Roman" w:cs="Times New Roman"/>
          <w:szCs w:val="24"/>
          <w:lang w:val="en-US" w:eastAsia="zh-CN" w:bidi="ar-SA"/>
        </w:rPr>
        <w:t xml:space="preserve">Merlin, </w:t>
      </w:r>
      <w:r>
        <w:rPr>
          <w:rFonts w:hint="default" w:cs="Times New Roman"/>
          <w:szCs w:val="24"/>
          <w:lang w:val="en-US" w:eastAsia="zh-CN" w:bidi="ar-SA"/>
        </w:rPr>
        <w:t xml:space="preserve">G. </w:t>
      </w:r>
      <w:r>
        <w:rPr>
          <w:rFonts w:hint="default" w:ascii="Times New Roman" w:hAnsi="Times New Roman" w:eastAsia="Times New Roman" w:cs="Times New Roman"/>
          <w:szCs w:val="24"/>
          <w:lang w:val="en-US" w:eastAsia="zh-CN" w:bidi="ar-SA"/>
        </w:rPr>
        <w:t xml:space="preserve">Dellaire, </w:t>
      </w:r>
      <w:r>
        <w:rPr>
          <w:rFonts w:hint="default" w:cs="Times New Roman"/>
          <w:szCs w:val="24"/>
          <w:lang w:val="en-US" w:eastAsia="zh-CN" w:bidi="ar-SA"/>
        </w:rPr>
        <w:t xml:space="preserve">Z. </w:t>
      </w:r>
      <w:r>
        <w:rPr>
          <w:rFonts w:hint="default" w:ascii="Times New Roman" w:hAnsi="Times New Roman" w:eastAsia="Times New Roman" w:cs="Times New Roman"/>
          <w:szCs w:val="24"/>
          <w:lang w:val="en-US" w:eastAsia="zh-CN" w:bidi="ar-SA"/>
        </w:rPr>
        <w:t xml:space="preserve">Xu, </w:t>
      </w:r>
      <w:r>
        <w:rPr>
          <w:rFonts w:hint="default" w:cs="Times New Roman"/>
          <w:szCs w:val="24"/>
          <w:lang w:val="en-US" w:eastAsia="zh-CN" w:bidi="ar-SA"/>
        </w:rPr>
        <w:t xml:space="preserve">and H. P. V. </w:t>
      </w:r>
      <w:r>
        <w:rPr>
          <w:rFonts w:hint="default" w:ascii="Times New Roman" w:hAnsi="Times New Roman" w:eastAsia="Times New Roman" w:cs="Times New Roman"/>
          <w:szCs w:val="24"/>
          <w:lang w:val="en-US" w:eastAsia="zh-CN" w:bidi="ar-SA"/>
        </w:rPr>
        <w:t>Rupasinghe</w:t>
      </w:r>
      <w:r>
        <w:t>, "</w:t>
      </w:r>
      <w:r>
        <w:rPr>
          <w:rFonts w:hint="default" w:ascii="Times New Roman" w:hAnsi="Times New Roman" w:eastAsia="Times New Roman" w:cs="Times New Roman"/>
          <w:szCs w:val="24"/>
          <w:lang w:val="en-US" w:eastAsia="zh-CN" w:bidi="ar-SA"/>
        </w:rPr>
        <w:t>Genistein and Procyanidin B2 Reduce Carcinogen-Induced Reactive Oxygen Species and DNA Damage through the Activation of Nrf2/ARE Cell Signaling in Bronchial Epithelial Cells In Vitro</w:t>
      </w:r>
      <w:r>
        <w:t>,"</w:t>
      </w:r>
      <w:r>
        <w:rPr>
          <w:rFonts w:hint="default"/>
          <w:lang w:val="en-US"/>
        </w:rPr>
        <w:t xml:space="preserve"> </w:t>
      </w:r>
      <w:r>
        <w:rPr>
          <w:rFonts w:hint="default" w:ascii="Times New Roman" w:hAnsi="Times New Roman" w:eastAsia="Times New Roman" w:cs="Times New Roman"/>
          <w:i/>
          <w:iCs/>
          <w:szCs w:val="24"/>
          <w:lang w:val="en-US" w:eastAsia="zh-CN" w:bidi="ar-SA"/>
        </w:rPr>
        <w:t>Int</w:t>
      </w:r>
      <w:r>
        <w:rPr>
          <w:rFonts w:hint="default" w:cs="Times New Roman"/>
          <w:i/>
          <w:iCs/>
          <w:szCs w:val="24"/>
          <w:lang w:val="en-US" w:eastAsia="zh-CN" w:bidi="ar-SA"/>
        </w:rPr>
        <w:t>ernational</w:t>
      </w:r>
      <w:r>
        <w:rPr>
          <w:rFonts w:hint="default" w:ascii="Times New Roman" w:hAnsi="Times New Roman" w:eastAsia="Times New Roman" w:cs="Times New Roman"/>
          <w:i/>
          <w:iCs/>
          <w:szCs w:val="24"/>
          <w:lang w:val="en-US" w:eastAsia="zh-CN" w:bidi="ar-SA"/>
        </w:rPr>
        <w:t xml:space="preserve"> J</w:t>
      </w:r>
      <w:r>
        <w:rPr>
          <w:rFonts w:hint="default" w:cs="Times New Roman"/>
          <w:i/>
          <w:iCs/>
          <w:szCs w:val="24"/>
          <w:lang w:val="en-US" w:eastAsia="zh-CN" w:bidi="ar-SA"/>
        </w:rPr>
        <w:t xml:space="preserve">ournal of </w:t>
      </w:r>
      <w:r>
        <w:rPr>
          <w:rFonts w:hint="default" w:ascii="Times New Roman" w:hAnsi="Times New Roman" w:eastAsia="Times New Roman" w:cs="Times New Roman"/>
          <w:i/>
          <w:iCs/>
          <w:szCs w:val="24"/>
          <w:lang w:val="en-US" w:eastAsia="zh-CN" w:bidi="ar-SA"/>
        </w:rPr>
        <w:t>Mol</w:t>
      </w:r>
      <w:r>
        <w:rPr>
          <w:rFonts w:hint="default" w:cs="Times New Roman"/>
          <w:i/>
          <w:iCs/>
          <w:szCs w:val="24"/>
          <w:lang w:val="en-US" w:eastAsia="zh-CN" w:bidi="ar-SA"/>
        </w:rPr>
        <w:t xml:space="preserve">ecular </w:t>
      </w:r>
      <w:r>
        <w:rPr>
          <w:rFonts w:hint="default" w:ascii="Times New Roman" w:hAnsi="Times New Roman" w:eastAsia="Times New Roman" w:cs="Times New Roman"/>
          <w:i/>
          <w:iCs/>
          <w:szCs w:val="24"/>
          <w:lang w:val="en-US" w:eastAsia="zh-CN" w:bidi="ar-SA"/>
        </w:rPr>
        <w:t>Sci</w:t>
      </w:r>
      <w:r>
        <w:rPr>
          <w:rFonts w:hint="default" w:cs="Times New Roman"/>
          <w:i/>
          <w:iCs/>
          <w:szCs w:val="24"/>
          <w:lang w:val="en-US" w:eastAsia="zh-CN" w:bidi="ar-SA"/>
        </w:rPr>
        <w:t>ence,</w:t>
      </w:r>
      <w:r>
        <w:rPr>
          <w:rFonts w:hint="default" w:ascii="Times New Roman" w:hAnsi="Times New Roman" w:eastAsia="Times New Roman" w:cs="Times New Roman"/>
          <w:szCs w:val="24"/>
          <w:lang w:val="en-US" w:eastAsia="zh-CN" w:bidi="ar-SA"/>
        </w:rPr>
        <w:t xml:space="preserve"> </w:t>
      </w:r>
      <w:r>
        <w:rPr>
          <w:rFonts w:hint="default" w:cs="Times New Roman"/>
          <w:szCs w:val="24"/>
          <w:lang w:val="en-US" w:eastAsia="zh-CN" w:bidi="ar-SA"/>
        </w:rPr>
        <w:t xml:space="preserve">vol. 24, no. 3676, </w:t>
      </w:r>
      <w:r>
        <w:rPr>
          <w:rFonts w:hint="default" w:ascii="Times New Roman" w:hAnsi="Times New Roman" w:eastAsia="Times New Roman" w:cs="Times New Roman"/>
          <w:szCs w:val="24"/>
          <w:lang w:val="en-US" w:eastAsia="zh-CN" w:bidi="ar-SA"/>
        </w:rPr>
        <w:t>2023</w:t>
      </w:r>
      <w:r>
        <w:rPr>
          <w:rFonts w:hint="default" w:cs="Times New Roman"/>
          <w:szCs w:val="24"/>
          <w:lang w:val="en-US" w:eastAsia="zh-CN" w:bidi="ar-SA"/>
        </w:rPr>
        <w:t>, doi</w:t>
      </w: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ascii="Times New Roman" w:hAnsi="Times New Roman" w:eastAsia="Times New Roman" w:cs="Times New Roman"/>
          <w:szCs w:val="24"/>
          <w:lang w:val="en-US" w:eastAsia="zh-CN" w:bidi="ar-SA"/>
        </w:rPr>
        <w:t xml:space="preserve"> https://doi.org/10.3390/ijms24043676</w:t>
      </w:r>
    </w:p>
    <w:p w14:paraId="1CAF68D0">
      <w:pPr>
        <w:ind w:left="756" w:leftChars="28" w:hanging="700" w:hangingChars="35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cs="Times New Roman"/>
          <w:szCs w:val="24"/>
          <w:lang w:val="en-US" w:eastAsia="zh-CN" w:bidi="ar-SA"/>
        </w:rPr>
        <w:t>[5]</w:t>
      </w:r>
      <w:r>
        <w:rPr>
          <w:rFonts w:hint="default" w:ascii="Times New Roman" w:hAnsi="Times New Roman" w:eastAsia="Times New Roman" w:cs="Times New Roman"/>
          <w:szCs w:val="24"/>
          <w:lang w:val="en-US" w:eastAsia="zh-CN" w:bidi="ar-SA"/>
        </w:rPr>
        <w:tab/>
      </w:r>
      <w:r>
        <w:rPr>
          <w:rFonts w:hint="default" w:cs="Times New Roman"/>
          <w:szCs w:val="24"/>
          <w:lang w:val="en-US" w:eastAsia="zh-CN" w:bidi="ar-SA"/>
        </w:rPr>
        <w:t xml:space="preserve">J. P. J. </w:t>
      </w:r>
      <w:r>
        <w:rPr>
          <w:rFonts w:hint="default" w:ascii="Times New Roman" w:hAnsi="Times New Roman" w:eastAsia="Times New Roman" w:cs="Times New Roman"/>
          <w:szCs w:val="24"/>
          <w:lang w:val="en-US" w:eastAsia="zh-CN" w:bidi="ar-SA"/>
        </w:rPr>
        <w:t xml:space="preserve">Merlin, </w:t>
      </w:r>
      <w:r>
        <w:rPr>
          <w:rFonts w:hint="default" w:cs="Times New Roman"/>
          <w:szCs w:val="24"/>
          <w:lang w:val="en-US" w:eastAsia="zh-CN" w:bidi="ar-SA"/>
        </w:rPr>
        <w:t xml:space="preserve">A. </w:t>
      </w:r>
      <w:r>
        <w:rPr>
          <w:rFonts w:hint="default" w:ascii="Times New Roman" w:hAnsi="Times New Roman" w:eastAsia="Times New Roman" w:cs="Times New Roman"/>
          <w:szCs w:val="24"/>
          <w:lang w:val="en-US" w:eastAsia="zh-CN" w:bidi="ar-SA"/>
        </w:rPr>
        <w:t xml:space="preserve">Crous, </w:t>
      </w:r>
      <w:r>
        <w:rPr>
          <w:rFonts w:hint="default" w:cs="Times New Roman"/>
          <w:szCs w:val="24"/>
          <w:lang w:val="en-US" w:eastAsia="zh-CN" w:bidi="ar-SA"/>
        </w:rPr>
        <w:t xml:space="preserve">and H. </w:t>
      </w:r>
      <w:r>
        <w:rPr>
          <w:rFonts w:hint="default" w:ascii="Times New Roman" w:hAnsi="Times New Roman" w:eastAsia="Times New Roman" w:cs="Times New Roman"/>
          <w:szCs w:val="24"/>
          <w:lang w:val="en-US" w:eastAsia="zh-CN" w:bidi="ar-SA"/>
        </w:rPr>
        <w:t>Abrahamse</w:t>
      </w:r>
      <w:r>
        <w:t>, "</w:t>
      </w:r>
      <w:r>
        <w:rPr>
          <w:rFonts w:hint="default" w:ascii="Times New Roman" w:hAnsi="Times New Roman" w:eastAsia="Times New Roman" w:cs="Times New Roman"/>
          <w:szCs w:val="24"/>
          <w:lang w:val="en-US" w:eastAsia="zh-CN" w:bidi="ar-SA"/>
        </w:rPr>
        <w:t>Nano‐phototherapy: Favorable prospects for cancer treatment</w:t>
      </w:r>
      <w:r>
        <w:t>,"</w:t>
      </w:r>
      <w:r>
        <w:rPr>
          <w:rFonts w:hint="default"/>
          <w:lang w:val="en-US"/>
        </w:rPr>
        <w:t xml:space="preserve"> </w:t>
      </w:r>
      <w:r>
        <w:rPr>
          <w:rFonts w:hint="default" w:ascii="Times New Roman" w:hAnsi="Times New Roman" w:eastAsia="Times New Roman" w:cs="Times New Roman"/>
          <w:i/>
          <w:iCs/>
          <w:szCs w:val="24"/>
          <w:lang w:val="en-US" w:eastAsia="zh-CN" w:bidi="ar-SA"/>
        </w:rPr>
        <w:t>WIREs</w:t>
      </w:r>
      <w:r>
        <w:rPr>
          <w:rFonts w:hint="default" w:cs="Times New Roman"/>
          <w:i/>
          <w:iCs/>
          <w:szCs w:val="24"/>
          <w:lang w:val="en-US" w:eastAsia="zh-CN" w:bidi="ar-SA"/>
        </w:rPr>
        <w:t xml:space="preserve"> </w:t>
      </w:r>
      <w:r>
        <w:rPr>
          <w:rFonts w:hint="default" w:ascii="Times New Roman" w:hAnsi="Times New Roman" w:eastAsia="Times New Roman" w:cs="Times New Roman"/>
          <w:i/>
          <w:iCs/>
          <w:szCs w:val="24"/>
          <w:lang w:val="en-US" w:eastAsia="zh-CN" w:bidi="ar-SA"/>
        </w:rPr>
        <w:t>Nanomedicine and Nanobiotechnology</w:t>
      </w:r>
      <w:r>
        <w:rPr>
          <w:rFonts w:hint="default" w:cs="Times New Roman"/>
          <w:i/>
          <w:iCs/>
          <w:szCs w:val="24"/>
          <w:lang w:val="en-US" w:eastAsia="zh-CN" w:bidi="ar-SA"/>
        </w:rPr>
        <w:t>,</w:t>
      </w:r>
      <w:r>
        <w:rPr>
          <w:rFonts w:hint="default" w:cs="Times New Roman"/>
          <w:szCs w:val="24"/>
          <w:lang w:val="en-US" w:eastAsia="zh-CN" w:bidi="ar-SA"/>
        </w:rPr>
        <w:t xml:space="preserve"> vol. 16, no. e1930, </w:t>
      </w:r>
      <w:r>
        <w:rPr>
          <w:rFonts w:hint="default" w:ascii="Times New Roman" w:hAnsi="Times New Roman" w:eastAsia="Times New Roman" w:cs="Times New Roman"/>
          <w:szCs w:val="24"/>
          <w:lang w:val="en-US" w:eastAsia="zh-CN" w:bidi="ar-SA"/>
        </w:rPr>
        <w:t>2024</w:t>
      </w:r>
      <w:r>
        <w:rPr>
          <w:rFonts w:hint="default" w:cs="Times New Roman"/>
          <w:szCs w:val="24"/>
          <w:lang w:val="en-US" w:eastAsia="zh-CN" w:bidi="ar-SA"/>
        </w:rPr>
        <w:t>, doi</w:t>
      </w: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ascii="Times New Roman" w:hAnsi="Times New Roman" w:eastAsia="Times New Roman" w:cs="Times New Roman"/>
          <w:szCs w:val="24"/>
          <w:lang w:val="en-US" w:eastAsia="zh-CN" w:bidi="ar-SA"/>
        </w:rPr>
        <w:t>https://doi.org/10.1002/wnan.1930</w:t>
      </w:r>
    </w:p>
    <w:p w14:paraId="4739642C">
      <w:pPr>
        <w:ind w:left="756" w:leftChars="28" w:hanging="700" w:hangingChars="350"/>
        <w:jc w:val="both"/>
        <w:rPr>
          <w:rFonts w:hint="default" w:cs="Times New Roman"/>
          <w:szCs w:val="24"/>
          <w:lang w:val="en-US" w:eastAsia="zh-CN" w:bidi="ar-SA"/>
        </w:rPr>
      </w:pPr>
      <w:r>
        <w:rPr>
          <w:rFonts w:hint="default" w:ascii="Times New Roman" w:hAnsi="Times New Roman" w:eastAsia="Times New Roman" w:cs="Times New Roman"/>
          <w:szCs w:val="24"/>
          <w:lang w:val="en-US" w:eastAsia="zh-CN" w:bidi="ar-SA"/>
        </w:rPr>
        <w:t>[6]</w:t>
      </w:r>
      <w:r>
        <w:rPr>
          <w:rFonts w:hint="default" w:ascii="Times New Roman" w:hAnsi="Times New Roman" w:eastAsia="Times New Roman" w:cs="Times New Roman"/>
          <w:szCs w:val="24"/>
          <w:lang w:val="en-US" w:eastAsia="zh-CN" w:bidi="ar-SA"/>
        </w:rPr>
        <w:tab/>
      </w:r>
      <w:r>
        <w:rPr>
          <w:rFonts w:hint="default" w:cs="Times New Roman"/>
          <w:szCs w:val="24"/>
          <w:lang w:val="en-US" w:eastAsia="zh-CN" w:bidi="ar-SA"/>
        </w:rPr>
        <w:t xml:space="preserve">S. S. </w:t>
      </w:r>
      <w:r>
        <w:rPr>
          <w:rFonts w:hint="default" w:ascii="Times New Roman" w:hAnsi="Times New Roman" w:eastAsia="Times New Roman" w:cs="Times New Roman"/>
          <w:szCs w:val="24"/>
          <w:lang w:val="en-US" w:eastAsia="zh-CN" w:bidi="ar-SA"/>
        </w:rPr>
        <w:t xml:space="preserve">Rajan, </w:t>
      </w:r>
      <w:r>
        <w:rPr>
          <w:rFonts w:hint="default" w:cs="Times New Roman"/>
          <w:szCs w:val="24"/>
          <w:lang w:val="en-US" w:eastAsia="zh-CN" w:bidi="ar-SA"/>
        </w:rPr>
        <w:t xml:space="preserve">R. </w:t>
      </w:r>
      <w:r>
        <w:rPr>
          <w:rFonts w:hint="default" w:ascii="Times New Roman" w:hAnsi="Times New Roman" w:eastAsia="Times New Roman" w:cs="Times New Roman"/>
          <w:szCs w:val="24"/>
          <w:lang w:val="en-US" w:eastAsia="zh-CN" w:bidi="ar-SA"/>
        </w:rPr>
        <w:t xml:space="preserve">Chandran, </w:t>
      </w:r>
      <w:r>
        <w:rPr>
          <w:rFonts w:hint="default" w:cs="Times New Roman"/>
          <w:szCs w:val="24"/>
          <w:lang w:val="en-US" w:eastAsia="zh-CN" w:bidi="ar-SA"/>
        </w:rPr>
        <w:t xml:space="preserve">and H. </w:t>
      </w:r>
      <w:r>
        <w:rPr>
          <w:rFonts w:hint="default" w:ascii="Times New Roman" w:hAnsi="Times New Roman" w:eastAsia="Times New Roman" w:cs="Times New Roman"/>
          <w:szCs w:val="24"/>
          <w:lang w:val="en-US" w:eastAsia="zh-CN" w:bidi="ar-SA"/>
        </w:rPr>
        <w:t>Abrahamse</w:t>
      </w:r>
      <w:r>
        <w:t>, "</w:t>
      </w:r>
      <w:r>
        <w:rPr>
          <w:rFonts w:hint="default" w:ascii="Times New Roman" w:hAnsi="Times New Roman" w:eastAsia="Times New Roman" w:cs="Times New Roman"/>
          <w:szCs w:val="24"/>
          <w:lang w:val="en-US" w:eastAsia="zh-CN" w:bidi="ar-SA"/>
        </w:rPr>
        <w:t>Overcoming challenges in cancer treatment: Nano‐enabled photodynamic therapy as a viable solution</w:t>
      </w:r>
      <w:r>
        <w:t>,"</w:t>
      </w:r>
      <w:r>
        <w:rPr>
          <w:rFonts w:hint="default"/>
          <w:lang w:val="en-US"/>
        </w:rPr>
        <w:t xml:space="preserve"> </w:t>
      </w:r>
      <w:r>
        <w:rPr>
          <w:rFonts w:hint="default" w:ascii="Times New Roman" w:hAnsi="Times New Roman" w:eastAsia="Times New Roman" w:cs="Times New Roman"/>
          <w:i/>
          <w:iCs/>
          <w:szCs w:val="24"/>
          <w:lang w:val="en-US" w:eastAsia="zh-CN" w:bidi="ar-SA"/>
        </w:rPr>
        <w:t>WIREs</w:t>
      </w:r>
      <w:r>
        <w:rPr>
          <w:rFonts w:hint="default" w:cs="Times New Roman"/>
          <w:i/>
          <w:iCs/>
          <w:szCs w:val="24"/>
          <w:lang w:val="en-US" w:eastAsia="zh-CN" w:bidi="ar-SA"/>
        </w:rPr>
        <w:t xml:space="preserve"> </w:t>
      </w:r>
      <w:r>
        <w:rPr>
          <w:rFonts w:hint="default" w:ascii="Times New Roman" w:hAnsi="Times New Roman" w:eastAsia="Times New Roman" w:cs="Times New Roman"/>
          <w:i/>
          <w:iCs/>
          <w:szCs w:val="24"/>
          <w:lang w:val="en-US" w:eastAsia="zh-CN" w:bidi="ar-SA"/>
        </w:rPr>
        <w:t>Nanomedicine and Nanobiotechnology</w:t>
      </w:r>
      <w:r>
        <w:rPr>
          <w:rFonts w:hint="default" w:cs="Times New Roman"/>
          <w:i/>
          <w:iCs/>
          <w:szCs w:val="24"/>
          <w:lang w:val="en-US" w:eastAsia="zh-CN" w:bidi="ar-SA"/>
        </w:rPr>
        <w:t>,</w:t>
      </w:r>
      <w:r>
        <w:rPr>
          <w:rFonts w:hint="default" w:cs="Times New Roman"/>
          <w:szCs w:val="24"/>
          <w:lang w:val="en-US" w:eastAsia="zh-CN" w:bidi="ar-SA"/>
        </w:rPr>
        <w:t xml:space="preserve"> vol. 16, no. e1942, </w:t>
      </w:r>
      <w:r>
        <w:rPr>
          <w:rFonts w:hint="default" w:ascii="Times New Roman" w:hAnsi="Times New Roman" w:eastAsia="Times New Roman" w:cs="Times New Roman"/>
          <w:szCs w:val="24"/>
          <w:lang w:val="en-US" w:eastAsia="zh-CN" w:bidi="ar-SA"/>
        </w:rPr>
        <w:t>2024</w:t>
      </w:r>
      <w:r>
        <w:rPr>
          <w:rFonts w:hint="default" w:cs="Times New Roman"/>
          <w:szCs w:val="24"/>
          <w:lang w:val="en-US" w:eastAsia="zh-CN" w:bidi="ar-SA"/>
        </w:rPr>
        <w:t>, doi</w:t>
      </w: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ascii="Times New Roman" w:hAnsi="Times New Roman" w:eastAsia="Times New Roman" w:cs="Times New Roman"/>
          <w:szCs w:val="24"/>
          <w:lang w:val="en-US" w:eastAsia="zh-CN" w:bidi="ar-SA"/>
        </w:rPr>
        <w:fldChar w:fldCharType="begin"/>
      </w:r>
      <w:r>
        <w:rPr>
          <w:rFonts w:hint="default" w:ascii="Times New Roman" w:hAnsi="Times New Roman" w:eastAsia="Times New Roman" w:cs="Times New Roman"/>
          <w:szCs w:val="24"/>
          <w:lang w:val="en-US" w:eastAsia="zh-CN" w:bidi="ar-SA"/>
        </w:rPr>
        <w:instrText xml:space="preserve"> HYPERLINK "https://doi.org/10.1002/wnan.1942" </w:instrText>
      </w:r>
      <w:r>
        <w:rPr>
          <w:rFonts w:hint="default" w:ascii="Times New Roman" w:hAnsi="Times New Roman" w:eastAsia="Times New Roman" w:cs="Times New Roman"/>
          <w:szCs w:val="24"/>
          <w:lang w:val="en-US" w:eastAsia="zh-CN" w:bidi="ar-SA"/>
        </w:rPr>
        <w:fldChar w:fldCharType="separate"/>
      </w:r>
      <w:r>
        <w:rPr>
          <w:rStyle w:val="19"/>
          <w:rFonts w:hint="default" w:ascii="Times New Roman" w:hAnsi="Times New Roman" w:eastAsia="Times New Roman" w:cs="Times New Roman"/>
          <w:szCs w:val="24"/>
          <w:lang w:val="en-US" w:eastAsia="zh-CN" w:bidi="ar-SA"/>
        </w:rPr>
        <w:t>https://doi.org/10.1002/wnan.19</w:t>
      </w:r>
      <w:r>
        <w:rPr>
          <w:rStyle w:val="19"/>
          <w:rFonts w:hint="default" w:cs="Times New Roman"/>
          <w:szCs w:val="24"/>
          <w:lang w:val="en-US" w:eastAsia="zh-CN" w:bidi="ar-SA"/>
        </w:rPr>
        <w:t>42</w:t>
      </w:r>
      <w:r>
        <w:rPr>
          <w:rFonts w:hint="default" w:ascii="Times New Roman" w:hAnsi="Times New Roman" w:eastAsia="Times New Roman" w:cs="Times New Roman"/>
          <w:szCs w:val="24"/>
          <w:lang w:val="en-US" w:eastAsia="zh-CN" w:bidi="ar-SA"/>
        </w:rPr>
        <w:fldChar w:fldCharType="end"/>
      </w:r>
    </w:p>
    <w:p w14:paraId="04467C26">
      <w:pPr>
        <w:ind w:left="756" w:leftChars="28" w:hanging="700" w:hangingChars="350"/>
        <w:jc w:val="both"/>
        <w:rPr>
          <w:rFonts w:hint="default" w:cs="Times New Roman"/>
          <w:szCs w:val="24"/>
          <w:lang w:val="en-US" w:eastAsia="zh-CN" w:bidi="ar-SA"/>
        </w:rPr>
      </w:pPr>
      <w:r>
        <w:rPr>
          <w:rFonts w:hint="default" w:cs="Times New Roman"/>
          <w:szCs w:val="24"/>
          <w:lang w:val="en-US" w:eastAsia="zh-CN" w:bidi="ar-SA"/>
        </w:rPr>
        <w:t xml:space="preserve">[7]       N. </w:t>
      </w:r>
      <w:r>
        <w:rPr>
          <w:rFonts w:hint="default" w:ascii="Times New Roman" w:hAnsi="Times New Roman" w:eastAsia="Times New Roman" w:cs="Times New Roman"/>
          <w:szCs w:val="24"/>
          <w:lang w:val="en-US" w:eastAsia="zh-CN" w:bidi="ar-SA"/>
        </w:rPr>
        <w:t xml:space="preserve">Zhao, </w:t>
      </w:r>
      <w:r>
        <w:rPr>
          <w:rFonts w:hint="default" w:cs="Times New Roman"/>
          <w:szCs w:val="24"/>
          <w:lang w:val="en-US" w:eastAsia="zh-CN" w:bidi="ar-SA"/>
        </w:rPr>
        <w:t xml:space="preserve">X. </w:t>
      </w:r>
      <w:r>
        <w:rPr>
          <w:rFonts w:hint="default" w:ascii="Times New Roman" w:hAnsi="Times New Roman" w:eastAsia="Times New Roman" w:cs="Times New Roman"/>
          <w:szCs w:val="24"/>
          <w:lang w:val="en-US" w:eastAsia="zh-CN" w:bidi="ar-SA"/>
        </w:rPr>
        <w:t xml:space="preserve">Lin, </w:t>
      </w:r>
      <w:r>
        <w:rPr>
          <w:rFonts w:hint="default" w:cs="Times New Roman"/>
          <w:szCs w:val="24"/>
          <w:lang w:val="en-US" w:eastAsia="zh-CN" w:bidi="ar-SA"/>
        </w:rPr>
        <w:t xml:space="preserve">S-S. </w:t>
      </w:r>
      <w:r>
        <w:rPr>
          <w:rFonts w:hint="default" w:ascii="Times New Roman" w:hAnsi="Times New Roman" w:eastAsia="Times New Roman" w:cs="Times New Roman"/>
          <w:szCs w:val="24"/>
          <w:lang w:val="en-US" w:eastAsia="zh-CN" w:bidi="ar-SA"/>
        </w:rPr>
        <w:t>Qi,</w:t>
      </w:r>
      <w:r>
        <w:rPr>
          <w:rFonts w:hint="default" w:cs="Times New Roman"/>
          <w:szCs w:val="24"/>
          <w:lang w:val="en-US" w:eastAsia="zh-CN" w:bidi="ar-SA"/>
        </w:rPr>
        <w:t xml:space="preserve"> Z. M.</w:t>
      </w:r>
      <w:r>
        <w:rPr>
          <w:rFonts w:hint="default" w:ascii="Times New Roman" w:hAnsi="Times New Roman" w:eastAsia="Times New Roman" w:cs="Times New Roman"/>
          <w:szCs w:val="24"/>
          <w:lang w:val="en-US" w:eastAsia="zh-CN" w:bidi="ar-SA"/>
        </w:rPr>
        <w:t xml:space="preserve"> Luo, </w:t>
      </w:r>
      <w:r>
        <w:rPr>
          <w:rFonts w:hint="default" w:cs="Times New Roman"/>
          <w:szCs w:val="24"/>
          <w:lang w:val="en-US" w:eastAsia="zh-CN" w:bidi="ar-SA"/>
        </w:rPr>
        <w:t xml:space="preserve">and S-L. </w:t>
      </w:r>
      <w:r>
        <w:rPr>
          <w:rFonts w:hint="default" w:ascii="Times New Roman" w:hAnsi="Times New Roman" w:eastAsia="Times New Roman" w:cs="Times New Roman"/>
          <w:szCs w:val="24"/>
          <w:lang w:val="en-US" w:eastAsia="zh-CN" w:bidi="ar-SA"/>
        </w:rPr>
        <w:t>Chen</w:t>
      </w:r>
      <w:r>
        <w:t>, "</w:t>
      </w:r>
      <w:r>
        <w:rPr>
          <w:rFonts w:hint="default" w:ascii="Times New Roman" w:hAnsi="Times New Roman" w:eastAsia="Times New Roman" w:cs="Times New Roman"/>
          <w:szCs w:val="24"/>
          <w:lang w:val="en-US" w:eastAsia="zh-CN" w:bidi="ar-SA"/>
        </w:rPr>
        <w:t>Yan De Novo Transcriptome Assembly in Shiraia bambusicola to Investigate Putative Genes Involved in the Biosynthesis of Hypocrellin A</w:t>
      </w:r>
      <w:r>
        <w:t>,"</w:t>
      </w:r>
      <w:r>
        <w:rPr>
          <w:rFonts w:hint="default"/>
          <w:lang w:val="en-US"/>
        </w:rPr>
        <w:t xml:space="preserve"> </w:t>
      </w:r>
      <w:r>
        <w:rPr>
          <w:rFonts w:hint="default" w:ascii="Times New Roman" w:hAnsi="Times New Roman" w:eastAsia="Times New Roman" w:cs="Times New Roman"/>
          <w:i/>
          <w:iCs/>
          <w:szCs w:val="24"/>
          <w:lang w:val="en-US" w:eastAsia="zh-CN" w:bidi="ar-SA"/>
        </w:rPr>
        <w:t>Int</w:t>
      </w:r>
      <w:r>
        <w:rPr>
          <w:rFonts w:hint="default" w:cs="Times New Roman"/>
          <w:i/>
          <w:iCs/>
          <w:szCs w:val="24"/>
          <w:lang w:val="en-US" w:eastAsia="zh-CN" w:bidi="ar-SA"/>
        </w:rPr>
        <w:t>ernational</w:t>
      </w:r>
      <w:r>
        <w:rPr>
          <w:rFonts w:hint="default" w:ascii="Times New Roman" w:hAnsi="Times New Roman" w:eastAsia="Times New Roman" w:cs="Times New Roman"/>
          <w:i/>
          <w:iCs/>
          <w:szCs w:val="24"/>
          <w:lang w:val="en-US" w:eastAsia="zh-CN" w:bidi="ar-SA"/>
        </w:rPr>
        <w:t xml:space="preserve"> J</w:t>
      </w:r>
      <w:r>
        <w:rPr>
          <w:rFonts w:hint="default" w:cs="Times New Roman"/>
          <w:i/>
          <w:iCs/>
          <w:szCs w:val="24"/>
          <w:lang w:val="en-US" w:eastAsia="zh-CN" w:bidi="ar-SA"/>
        </w:rPr>
        <w:t xml:space="preserve">ournal of </w:t>
      </w:r>
      <w:r>
        <w:rPr>
          <w:rFonts w:hint="default" w:ascii="Times New Roman" w:hAnsi="Times New Roman" w:eastAsia="Times New Roman" w:cs="Times New Roman"/>
          <w:i/>
          <w:iCs/>
          <w:szCs w:val="24"/>
          <w:lang w:val="en-US" w:eastAsia="zh-CN" w:bidi="ar-SA"/>
        </w:rPr>
        <w:t>Mol</w:t>
      </w:r>
      <w:r>
        <w:rPr>
          <w:rFonts w:hint="default" w:cs="Times New Roman"/>
          <w:i/>
          <w:iCs/>
          <w:szCs w:val="24"/>
          <w:lang w:val="en-US" w:eastAsia="zh-CN" w:bidi="ar-SA"/>
        </w:rPr>
        <w:t xml:space="preserve">ecular </w:t>
      </w:r>
      <w:r>
        <w:rPr>
          <w:rFonts w:hint="default" w:ascii="Times New Roman" w:hAnsi="Times New Roman" w:eastAsia="Times New Roman" w:cs="Times New Roman"/>
          <w:i/>
          <w:iCs/>
          <w:szCs w:val="24"/>
          <w:lang w:val="en-US" w:eastAsia="zh-CN" w:bidi="ar-SA"/>
        </w:rPr>
        <w:t>Sci</w:t>
      </w:r>
      <w:r>
        <w:rPr>
          <w:rFonts w:hint="default" w:cs="Times New Roman"/>
          <w:i/>
          <w:iCs/>
          <w:szCs w:val="24"/>
          <w:lang w:val="en-US" w:eastAsia="zh-CN" w:bidi="ar-SA"/>
        </w:rPr>
        <w:t xml:space="preserve">ence, </w:t>
      </w:r>
      <w:r>
        <w:rPr>
          <w:rFonts w:hint="default" w:cs="Times New Roman"/>
          <w:i w:val="0"/>
          <w:iCs w:val="0"/>
          <w:szCs w:val="24"/>
          <w:lang w:val="en-US" w:eastAsia="zh-CN" w:bidi="ar-SA"/>
        </w:rPr>
        <w:t xml:space="preserve">vol. 17, no. </w:t>
      </w:r>
      <w:r>
        <w:rPr>
          <w:rFonts w:hint="default" w:ascii="Times New Roman" w:hAnsi="Times New Roman" w:eastAsia="Times New Roman" w:cs="Times New Roman"/>
          <w:szCs w:val="24"/>
          <w:lang w:val="en-US" w:eastAsia="zh-CN" w:bidi="ar-SA"/>
        </w:rPr>
        <w:t>311</w:t>
      </w:r>
      <w:r>
        <w:rPr>
          <w:rFonts w:hint="default" w:cs="Times New Roman"/>
          <w:szCs w:val="24"/>
          <w:lang w:val="en-US" w:eastAsia="zh-CN" w:bidi="ar-SA"/>
        </w:rPr>
        <w:t>, 2016, doi</w:t>
      </w: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ascii="Times New Roman" w:hAnsi="Times New Roman" w:eastAsia="Times New Roman" w:cs="Times New Roman"/>
          <w:szCs w:val="24"/>
          <w:lang w:val="en-US" w:eastAsia="zh-CN" w:bidi="ar-SA"/>
        </w:rPr>
        <w:t>https://doi.org/10.3390/ijms17030311.</w:t>
      </w:r>
    </w:p>
    <w:p w14:paraId="2C4A5149">
      <w:pPr>
        <w:ind w:left="756" w:leftChars="28" w:hanging="700" w:hangingChars="350"/>
        <w:jc w:val="both"/>
        <w:rPr>
          <w:rFonts w:hint="default" w:ascii="Times New Roman" w:hAnsi="Times New Roman" w:eastAsia="Times New Roman" w:cs="Times New Roman"/>
          <w:szCs w:val="24"/>
          <w:lang w:val="en-US" w:eastAsia="zh-CN" w:bidi="ar-SA"/>
        </w:rPr>
      </w:pPr>
      <w:r>
        <w:rPr>
          <w:rFonts w:hint="default" w:cs="Times New Roman"/>
          <w:szCs w:val="24"/>
          <w:lang w:val="en-US" w:eastAsia="zh-CN" w:bidi="ar-SA"/>
        </w:rPr>
        <w:t xml:space="preserve">[8]        </w:t>
      </w:r>
      <w:r>
        <w:rPr>
          <w:rFonts w:hint="default" w:ascii="Times New Roman" w:hAnsi="Times New Roman" w:eastAsia="Times New Roman" w:cs="Times New Roman"/>
          <w:szCs w:val="24"/>
          <w:lang w:val="en-US" w:eastAsia="zh-CN" w:bidi="ar-SA"/>
        </w:rPr>
        <w:t xml:space="preserve">S. Law, </w:t>
      </w:r>
      <w:r>
        <w:rPr>
          <w:rFonts w:hint="default" w:cs="Times New Roman"/>
          <w:szCs w:val="24"/>
          <w:lang w:val="en-US" w:eastAsia="zh-CN" w:bidi="ar-SA"/>
        </w:rPr>
        <w:t xml:space="preserve">C. </w:t>
      </w:r>
      <w:r>
        <w:rPr>
          <w:rFonts w:hint="default" w:ascii="Times New Roman" w:hAnsi="Times New Roman" w:eastAsia="Times New Roman" w:cs="Times New Roman"/>
          <w:szCs w:val="24"/>
          <w:lang w:val="en-US" w:eastAsia="zh-CN" w:bidi="ar-SA"/>
        </w:rPr>
        <w:t xml:space="preserve">Lo, </w:t>
      </w:r>
      <w:r>
        <w:rPr>
          <w:rFonts w:hint="default" w:cs="Times New Roman"/>
          <w:szCs w:val="24"/>
          <w:lang w:val="en-US" w:eastAsia="zh-CN" w:bidi="ar-SA"/>
        </w:rPr>
        <w:t xml:space="preserve">J. </w:t>
      </w:r>
      <w:r>
        <w:rPr>
          <w:rFonts w:hint="default" w:ascii="Times New Roman" w:hAnsi="Times New Roman" w:eastAsia="Times New Roman" w:cs="Times New Roman"/>
          <w:szCs w:val="24"/>
          <w:lang w:val="en-US" w:eastAsia="zh-CN" w:bidi="ar-SA"/>
        </w:rPr>
        <w:t xml:space="preserve">Han, </w:t>
      </w:r>
      <w:r>
        <w:rPr>
          <w:rFonts w:hint="default" w:cs="Times New Roman"/>
          <w:szCs w:val="24"/>
          <w:lang w:val="en-US" w:eastAsia="zh-CN" w:bidi="ar-SA"/>
        </w:rPr>
        <w:t xml:space="preserve">A. W. </w:t>
      </w:r>
      <w:r>
        <w:rPr>
          <w:rFonts w:hint="default" w:ascii="Times New Roman" w:hAnsi="Times New Roman" w:eastAsia="Times New Roman" w:cs="Times New Roman"/>
          <w:szCs w:val="24"/>
          <w:lang w:val="en-US" w:eastAsia="zh-CN" w:bidi="ar-SA"/>
        </w:rPr>
        <w:t xml:space="preserve">Leung, </w:t>
      </w:r>
      <w:r>
        <w:rPr>
          <w:rFonts w:hint="default" w:cs="Times New Roman"/>
          <w:szCs w:val="24"/>
          <w:lang w:val="en-US" w:eastAsia="zh-CN" w:bidi="ar-SA"/>
        </w:rPr>
        <w:t xml:space="preserve">and C. </w:t>
      </w:r>
      <w:r>
        <w:rPr>
          <w:rFonts w:hint="default" w:ascii="Times New Roman" w:hAnsi="Times New Roman" w:eastAsia="Times New Roman" w:cs="Times New Roman"/>
          <w:szCs w:val="24"/>
          <w:lang w:val="en-US" w:eastAsia="zh-CN" w:bidi="ar-SA"/>
        </w:rPr>
        <w:t>Xu</w:t>
      </w:r>
      <w:r>
        <w:t>, "</w:t>
      </w:r>
      <w:r>
        <w:rPr>
          <w:rFonts w:hint="default" w:ascii="Times New Roman" w:hAnsi="Times New Roman" w:eastAsia="Times New Roman" w:cs="Times New Roman"/>
          <w:szCs w:val="24"/>
          <w:lang w:val="en-US" w:eastAsia="zh-CN" w:bidi="ar-SA"/>
        </w:rPr>
        <w:t>Antimicrobial photodynamic therapy with hypocrellin B against SARS-CoV-2 infection?</w:t>
      </w:r>
      <w:r>
        <w:t>,</w:t>
      </w:r>
      <w:r>
        <w:rPr>
          <w:i/>
          <w:iCs/>
        </w:rPr>
        <w:t>"</w:t>
      </w:r>
      <w:r>
        <w:rPr>
          <w:rFonts w:hint="default"/>
          <w:i/>
          <w:iCs/>
          <w:lang w:val="en-US"/>
        </w:rPr>
        <w:t xml:space="preserve"> </w:t>
      </w:r>
      <w:r>
        <w:rPr>
          <w:rFonts w:hint="default" w:ascii="Times New Roman" w:hAnsi="Times New Roman" w:eastAsia="Times New Roman" w:cs="Times New Roman"/>
          <w:i/>
          <w:iCs/>
          <w:szCs w:val="24"/>
          <w:lang w:val="en-US" w:eastAsia="zh-CN" w:bidi="ar-SA"/>
        </w:rPr>
        <w:t>Photodiagnosis</w:t>
      </w:r>
      <w:r>
        <w:rPr>
          <w:rFonts w:hint="default" w:cs="Times New Roman"/>
          <w:i/>
          <w:iCs/>
          <w:szCs w:val="24"/>
          <w:lang w:val="en-US" w:eastAsia="zh-CN" w:bidi="ar-SA"/>
        </w:rPr>
        <w:t xml:space="preserve"> and</w:t>
      </w:r>
      <w:r>
        <w:rPr>
          <w:rFonts w:hint="default" w:ascii="Times New Roman" w:hAnsi="Times New Roman" w:eastAsia="Times New Roman" w:cs="Times New Roman"/>
          <w:i/>
          <w:iCs/>
          <w:szCs w:val="24"/>
          <w:lang w:val="en-US" w:eastAsia="zh-CN" w:bidi="ar-SA"/>
        </w:rPr>
        <w:t xml:space="preserve"> Photodyn</w:t>
      </w:r>
      <w:r>
        <w:rPr>
          <w:rFonts w:hint="default" w:cs="Times New Roman"/>
          <w:i/>
          <w:iCs/>
          <w:szCs w:val="24"/>
          <w:lang w:val="en-US" w:eastAsia="zh-CN" w:bidi="ar-SA"/>
        </w:rPr>
        <w:t>amic</w:t>
      </w:r>
      <w:r>
        <w:rPr>
          <w:rFonts w:hint="default" w:ascii="Times New Roman" w:hAnsi="Times New Roman" w:eastAsia="Times New Roman" w:cs="Times New Roman"/>
          <w:i/>
          <w:iCs/>
          <w:szCs w:val="24"/>
          <w:lang w:val="en-US" w:eastAsia="zh-CN" w:bidi="ar-SA"/>
        </w:rPr>
        <w:t xml:space="preserve"> Ther</w:t>
      </w:r>
      <w:r>
        <w:rPr>
          <w:rFonts w:hint="default" w:cs="Times New Roman"/>
          <w:i/>
          <w:iCs/>
          <w:szCs w:val="24"/>
          <w:lang w:val="en-US" w:eastAsia="zh-CN" w:bidi="ar-SA"/>
        </w:rPr>
        <w:t>apy,</w:t>
      </w:r>
      <w:r>
        <w:rPr>
          <w:rFonts w:hint="default" w:ascii="Times New Roman" w:hAnsi="Times New Roman" w:eastAsia="Times New Roman" w:cs="Times New Roman"/>
          <w:szCs w:val="24"/>
          <w:lang w:val="en-US" w:eastAsia="zh-CN" w:bidi="ar-SA"/>
        </w:rPr>
        <w:t xml:space="preserve"> </w:t>
      </w:r>
      <w:r>
        <w:rPr>
          <w:rFonts w:hint="default" w:cs="Times New Roman"/>
          <w:szCs w:val="24"/>
          <w:lang w:val="en-US" w:eastAsia="zh-CN" w:bidi="ar-SA"/>
        </w:rPr>
        <w:t xml:space="preserve">vol. 34, no. </w:t>
      </w:r>
      <w:r>
        <w:rPr>
          <w:rFonts w:hint="default" w:ascii="Times New Roman" w:hAnsi="Times New Roman" w:eastAsia="Times New Roman" w:cs="Times New Roman"/>
          <w:szCs w:val="24"/>
          <w:lang w:val="en-US" w:eastAsia="zh-CN" w:bidi="ar-SA"/>
        </w:rPr>
        <w:t>102297</w:t>
      </w:r>
      <w:r>
        <w:rPr>
          <w:rFonts w:hint="default" w:cs="Times New Roman"/>
          <w:szCs w:val="24"/>
          <w:lang w:val="en-US" w:eastAsia="zh-CN" w:bidi="ar-SA"/>
        </w:rPr>
        <w:t>, 2021, doi</w:t>
      </w: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ascii="Times New Roman" w:hAnsi="Times New Roman" w:eastAsia="Times New Roman" w:cs="Times New Roman"/>
          <w:szCs w:val="24"/>
          <w:lang w:val="en-US" w:eastAsia="zh-CN" w:bidi="ar-SA"/>
        </w:rPr>
        <w:fldChar w:fldCharType="begin"/>
      </w:r>
      <w:r>
        <w:rPr>
          <w:rFonts w:hint="default" w:ascii="Times New Roman" w:hAnsi="Times New Roman" w:eastAsia="Times New Roman" w:cs="Times New Roman"/>
          <w:szCs w:val="24"/>
          <w:lang w:val="en-US" w:eastAsia="zh-CN" w:bidi="ar-SA"/>
        </w:rPr>
        <w:instrText xml:space="preserve"> HYPERLINK "https://doi.org/10.1016/j.pdpdt.2021.102297" </w:instrText>
      </w:r>
      <w:r>
        <w:rPr>
          <w:rFonts w:hint="default" w:ascii="Times New Roman" w:hAnsi="Times New Roman" w:eastAsia="Times New Roman" w:cs="Times New Roman"/>
          <w:szCs w:val="24"/>
          <w:lang w:val="en-US" w:eastAsia="zh-CN" w:bidi="ar-SA"/>
        </w:rPr>
        <w:fldChar w:fldCharType="separate"/>
      </w:r>
      <w:r>
        <w:rPr>
          <w:rStyle w:val="19"/>
          <w:rFonts w:hint="default" w:ascii="Times New Roman" w:hAnsi="Times New Roman" w:eastAsia="Times New Roman" w:cs="Times New Roman"/>
          <w:szCs w:val="24"/>
          <w:lang w:val="en-US" w:eastAsia="zh-CN" w:bidi="ar-SA"/>
        </w:rPr>
        <w:t>https://doi.org/10.1016/j.pdpdt.2021.102297</w:t>
      </w:r>
      <w:r>
        <w:rPr>
          <w:rFonts w:hint="default" w:ascii="Times New Roman" w:hAnsi="Times New Roman" w:eastAsia="Times New Roman" w:cs="Times New Roman"/>
          <w:szCs w:val="24"/>
          <w:lang w:val="en-US" w:eastAsia="zh-CN" w:bidi="ar-SA"/>
        </w:rPr>
        <w:fldChar w:fldCharType="end"/>
      </w:r>
    </w:p>
    <w:p w14:paraId="22FDBBA4">
      <w:pPr>
        <w:ind w:left="756" w:leftChars="28" w:hanging="700" w:hangingChars="350"/>
        <w:jc w:val="both"/>
        <w:rPr>
          <w:rFonts w:hint="default" w:cs="Times New Roman"/>
          <w:szCs w:val="24"/>
          <w:lang w:val="en-US" w:eastAsia="zh-CN" w:bidi="ar-SA"/>
        </w:rPr>
      </w:pPr>
      <w:r>
        <w:rPr>
          <w:rFonts w:hint="default" w:cs="Times New Roman"/>
          <w:szCs w:val="24"/>
          <w:lang w:val="en-US" w:eastAsia="zh-CN" w:bidi="ar-SA"/>
        </w:rPr>
        <w:t xml:space="preserve">[9]      S. S. </w:t>
      </w:r>
      <w:r>
        <w:rPr>
          <w:rFonts w:hint="default" w:ascii="Times New Roman" w:hAnsi="Times New Roman" w:eastAsia="Times New Roman" w:cs="Times New Roman"/>
          <w:szCs w:val="24"/>
          <w:lang w:val="en-US" w:eastAsia="zh-CN" w:bidi="ar-SA"/>
        </w:rPr>
        <w:t xml:space="preserve">Rajan, </w:t>
      </w:r>
      <w:r>
        <w:rPr>
          <w:rFonts w:hint="default" w:cs="Times New Roman"/>
          <w:szCs w:val="24"/>
          <w:lang w:val="en-US" w:eastAsia="zh-CN" w:bidi="ar-SA"/>
        </w:rPr>
        <w:t xml:space="preserve">R. </w:t>
      </w:r>
      <w:r>
        <w:rPr>
          <w:rFonts w:hint="default" w:ascii="Times New Roman" w:hAnsi="Times New Roman" w:eastAsia="Times New Roman" w:cs="Times New Roman"/>
          <w:szCs w:val="24"/>
          <w:lang w:val="en-US" w:eastAsia="zh-CN" w:bidi="ar-SA"/>
        </w:rPr>
        <w:t xml:space="preserve">Chandran, </w:t>
      </w:r>
      <w:r>
        <w:rPr>
          <w:rFonts w:hint="default" w:cs="Times New Roman"/>
          <w:szCs w:val="24"/>
          <w:lang w:val="en-US" w:eastAsia="zh-CN" w:bidi="ar-SA"/>
        </w:rPr>
        <w:t xml:space="preserve">H. </w:t>
      </w:r>
      <w:r>
        <w:rPr>
          <w:rFonts w:hint="default" w:ascii="Times New Roman" w:hAnsi="Times New Roman" w:eastAsia="Times New Roman" w:cs="Times New Roman"/>
          <w:szCs w:val="24"/>
          <w:lang w:val="en-US" w:eastAsia="zh-CN" w:bidi="ar-SA"/>
        </w:rPr>
        <w:t>Abrahamse</w:t>
      </w:r>
      <w:r>
        <w:t>, "</w:t>
      </w:r>
      <w:r>
        <w:rPr>
          <w:rFonts w:hint="default"/>
          <w:lang w:val="en-US"/>
        </w:rPr>
        <w:t>Advancing photodynamic therapy with nano-conjugated Hypocrellin</w:t>
      </w: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Mechanisms and clinical applications,</w:t>
      </w:r>
      <w:r>
        <w:t>"</w:t>
      </w:r>
      <w:r>
        <w:rPr>
          <w:rFonts w:hint="default"/>
          <w:lang w:val="en-US"/>
        </w:rPr>
        <w:t xml:space="preserve"> </w:t>
      </w:r>
      <w:r>
        <w:rPr>
          <w:rFonts w:hint="default" w:cs="Times New Roman"/>
          <w:i/>
          <w:iCs/>
          <w:szCs w:val="24"/>
          <w:lang w:val="en-US" w:eastAsia="zh-CN" w:bidi="ar-SA"/>
        </w:rPr>
        <w:t>International Journal</w:t>
      </w:r>
      <w:r>
        <w:rPr>
          <w:rFonts w:hint="default" w:ascii="Times New Roman" w:hAnsi="Times New Roman" w:eastAsia="Times New Roman" w:cs="Times New Roman"/>
          <w:i/>
          <w:iCs/>
          <w:szCs w:val="24"/>
          <w:lang w:val="en-US" w:eastAsia="zh-CN" w:bidi="ar-SA"/>
        </w:rPr>
        <w:t xml:space="preserve"> </w:t>
      </w:r>
      <w:r>
        <w:rPr>
          <w:rFonts w:hint="default" w:cs="Times New Roman"/>
          <w:i/>
          <w:iCs/>
          <w:szCs w:val="24"/>
          <w:lang w:val="en-US" w:eastAsia="zh-CN" w:bidi="ar-SA"/>
        </w:rPr>
        <w:t xml:space="preserve">of </w:t>
      </w:r>
      <w:r>
        <w:rPr>
          <w:rFonts w:hint="default" w:ascii="Times New Roman" w:hAnsi="Times New Roman" w:eastAsia="Times New Roman" w:cs="Times New Roman"/>
          <w:i/>
          <w:iCs/>
          <w:szCs w:val="24"/>
          <w:lang w:val="en-US" w:eastAsia="zh-CN" w:bidi="ar-SA"/>
        </w:rPr>
        <w:t>Nanomedicine</w:t>
      </w:r>
      <w:r>
        <w:rPr>
          <w:rFonts w:hint="default" w:cs="Times New Roman"/>
          <w:i/>
          <w:iCs/>
          <w:szCs w:val="24"/>
          <w:lang w:val="en-US" w:eastAsia="zh-CN" w:bidi="ar-SA"/>
        </w:rPr>
        <w:t>,</w:t>
      </w:r>
      <w:r>
        <w:rPr>
          <w:rFonts w:hint="default" w:cs="Times New Roman"/>
          <w:szCs w:val="24"/>
          <w:lang w:val="en-US" w:eastAsia="zh-CN" w:bidi="ar-SA"/>
        </w:rPr>
        <w:t xml:space="preserve"> vol. 196, pp. 11023-11038, </w:t>
      </w:r>
      <w:r>
        <w:rPr>
          <w:rFonts w:hint="default" w:ascii="Times New Roman" w:hAnsi="Times New Roman" w:eastAsia="Times New Roman" w:cs="Times New Roman"/>
          <w:szCs w:val="24"/>
          <w:lang w:val="en-US" w:eastAsia="zh-CN" w:bidi="ar-SA"/>
        </w:rPr>
        <w:t>2024</w:t>
      </w:r>
      <w:r>
        <w:rPr>
          <w:rFonts w:hint="default" w:cs="Times New Roman"/>
          <w:szCs w:val="24"/>
          <w:lang w:val="en-US" w:eastAsia="zh-CN" w:bidi="ar-SA"/>
        </w:rPr>
        <w:t>, doi</w:t>
      </w: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ascii="Times New Roman" w:hAnsi="Times New Roman" w:eastAsia="Times New Roman" w:cs="Times New Roman"/>
          <w:szCs w:val="24"/>
          <w:lang w:val="en-US" w:eastAsia="zh-CN" w:bidi="ar-SA"/>
        </w:rPr>
        <w:fldChar w:fldCharType="begin"/>
      </w:r>
      <w:r>
        <w:rPr>
          <w:rFonts w:hint="default" w:ascii="Times New Roman" w:hAnsi="Times New Roman" w:eastAsia="Times New Roman" w:cs="Times New Roman"/>
          <w:szCs w:val="24"/>
          <w:lang w:val="en-US" w:eastAsia="zh-CN" w:bidi="ar-SA"/>
        </w:rPr>
        <w:instrText xml:space="preserve"> HYPERLINK "https://doi.org/10.2147/IJN.S486014" </w:instrText>
      </w:r>
      <w:r>
        <w:rPr>
          <w:rFonts w:hint="default" w:ascii="Times New Roman" w:hAnsi="Times New Roman" w:eastAsia="Times New Roman" w:cs="Times New Roman"/>
          <w:szCs w:val="24"/>
          <w:lang w:val="en-US" w:eastAsia="zh-CN" w:bidi="ar-SA"/>
        </w:rPr>
        <w:fldChar w:fldCharType="separate"/>
      </w:r>
      <w:r>
        <w:rPr>
          <w:rStyle w:val="19"/>
          <w:rFonts w:hint="default" w:ascii="Times New Roman" w:hAnsi="Times New Roman" w:eastAsia="Times New Roman" w:cs="Times New Roman"/>
          <w:szCs w:val="24"/>
          <w:lang w:val="en-US" w:eastAsia="zh-CN" w:bidi="ar-SA"/>
        </w:rPr>
        <w:t>https://do</w:t>
      </w:r>
      <w:r>
        <w:rPr>
          <w:rFonts w:hint="default" w:ascii="Times New Roman" w:hAnsi="Times New Roman" w:eastAsia="Times New Roman" w:cs="Times New Roman"/>
          <w:szCs w:val="24"/>
          <w:lang w:val="en-US" w:eastAsia="zh-CN" w:bidi="ar-SA"/>
        </w:rPr>
        <w:t>i.org/10.2147/IJN.S486014</w:t>
      </w:r>
      <w:r>
        <w:rPr>
          <w:rFonts w:hint="default" w:ascii="Times New Roman" w:hAnsi="Times New Roman" w:eastAsia="Times New Roman" w:cs="Times New Roman"/>
          <w:szCs w:val="24"/>
          <w:lang w:val="en-US" w:eastAsia="zh-CN" w:bidi="ar-SA"/>
        </w:rPr>
        <w:fldChar w:fldCharType="end"/>
      </w:r>
    </w:p>
    <w:p w14:paraId="0510EAF6">
      <w:pPr>
        <w:keepNext w:val="0"/>
        <w:keepLines w:val="0"/>
        <w:widowControl/>
        <w:suppressLineNumbers w:val="0"/>
        <w:ind w:left="800" w:hanging="800" w:hangingChars="400"/>
        <w:jc w:val="left"/>
        <w:rPr>
          <w:rFonts w:hint="default" w:ascii="Times New Roman" w:hAnsi="Times New Roman" w:eastAsia="Times New Roman" w:cs="Times New Roman"/>
          <w:szCs w:val="24"/>
          <w:lang w:val="en-US" w:eastAsia="zh-CN" w:bidi="ar-SA"/>
        </w:rPr>
      </w:pPr>
      <w:r>
        <w:rPr>
          <w:rFonts w:hint="default" w:cs="Times New Roman"/>
          <w:szCs w:val="24"/>
          <w:lang w:val="en-US" w:eastAsia="zh-CN" w:bidi="ar-SA"/>
        </w:rPr>
        <w:t xml:space="preserve">[10]         </w:t>
      </w:r>
      <w:r>
        <w:rPr>
          <w:rFonts w:hint="default" w:ascii="Times New Roman" w:hAnsi="Times New Roman" w:eastAsia="Times New Roman" w:cs="Times New Roman"/>
          <w:szCs w:val="24"/>
          <w:lang w:val="en-US" w:eastAsia="zh-CN" w:bidi="ar-SA"/>
        </w:rPr>
        <w:t>R. A. Rather and M. Bhagat, "Quercetin as an innovative therapeutic tool for cancer chemoprevention: Molecular mechanisms and implications in human health</w:t>
      </w:r>
      <w:r>
        <w:t>,</w:t>
      </w:r>
      <w:r>
        <w:rPr>
          <w:i/>
          <w:iCs/>
        </w:rPr>
        <w:t>"</w:t>
      </w:r>
      <w:r>
        <w:rPr>
          <w:rFonts w:hint="default"/>
          <w:i/>
          <w:iCs/>
          <w:lang w:val="en-US"/>
        </w:rPr>
        <w:t xml:space="preserve"> </w:t>
      </w:r>
      <w:r>
        <w:rPr>
          <w:rFonts w:hint="default" w:ascii="Times New Roman" w:hAnsi="Times New Roman" w:eastAsia="Times New Roman" w:cs="Times New Roman"/>
          <w:i/>
          <w:iCs/>
          <w:szCs w:val="24"/>
          <w:lang w:val="en-US" w:eastAsia="zh-CN" w:bidi="ar-SA"/>
        </w:rPr>
        <w:t>Cancer Medicine,</w:t>
      </w:r>
      <w:r>
        <w:rPr>
          <w:rFonts w:hint="default" w:ascii="Times New Roman" w:hAnsi="Times New Roman" w:eastAsia="Times New Roman" w:cs="Times New Roman"/>
          <w:szCs w:val="24"/>
          <w:lang w:val="en-US" w:eastAsia="zh-CN" w:bidi="ar-SA"/>
        </w:rPr>
        <w:t xml:space="preserve"> vol. 9, no. 24, pp. 9181–9192, 2020, </w:t>
      </w:r>
      <w:r>
        <w:rPr>
          <w:rFonts w:hint="default" w:cs="Times New Roman"/>
          <w:szCs w:val="24"/>
          <w:lang w:val="en-US" w:eastAsia="zh-CN" w:bidi="ar-SA"/>
        </w:rPr>
        <w:t>doi</w:t>
      </w: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ascii="Times New Roman" w:hAnsi="Times New Roman" w:eastAsia="Times New Roman" w:cs="Times New Roman"/>
          <w:szCs w:val="24"/>
          <w:lang w:val="en-US" w:eastAsia="zh-CN" w:bidi="ar-SA"/>
        </w:rPr>
        <w:fldChar w:fldCharType="begin"/>
      </w:r>
      <w:r>
        <w:rPr>
          <w:rFonts w:hint="default" w:ascii="Times New Roman" w:hAnsi="Times New Roman" w:eastAsia="Times New Roman" w:cs="Times New Roman"/>
          <w:szCs w:val="24"/>
          <w:lang w:val="en-US" w:eastAsia="zh-CN" w:bidi="ar-SA"/>
        </w:rPr>
        <w:instrText xml:space="preserve"> HYPERLINK "https://doi.org/10.1016/j.pdpdt.2021.102297" </w:instrText>
      </w:r>
      <w:r>
        <w:rPr>
          <w:rFonts w:hint="default" w:ascii="Times New Roman" w:hAnsi="Times New Roman" w:eastAsia="Times New Roman" w:cs="Times New Roman"/>
          <w:szCs w:val="24"/>
          <w:lang w:val="en-US" w:eastAsia="zh-CN" w:bidi="ar-SA"/>
        </w:rPr>
        <w:fldChar w:fldCharType="separate"/>
      </w:r>
      <w:r>
        <w:rPr>
          <w:rFonts w:hint="default" w:ascii="Times New Roman" w:hAnsi="Times New Roman" w:eastAsia="Times New Roman" w:cs="Times New Roman"/>
          <w:szCs w:val="24"/>
          <w:lang w:val="en-US" w:eastAsia="zh-CN" w:bidi="ar-SA"/>
        </w:rPr>
        <w:t>https://doi.org/10..1002/cam4.1411</w:t>
      </w:r>
    </w:p>
    <w:p w14:paraId="47AB619C">
      <w:pPr>
        <w:ind w:left="756" w:leftChars="28" w:hanging="700" w:hangingChars="350"/>
        <w:jc w:val="both"/>
        <w:rPr>
          <w:rFonts w:hint="default" w:cs="Times New Roman"/>
          <w:szCs w:val="24"/>
          <w:highlight w:val="none"/>
          <w:lang w:val="en-US" w:eastAsia="zh-CN" w:bidi="ar-SA"/>
        </w:rPr>
      </w:pPr>
      <w:r>
        <w:rPr>
          <w:rFonts w:hint="default" w:ascii="Times New Roman" w:hAnsi="Times New Roman" w:eastAsia="Times New Roman" w:cs="Times New Roman"/>
          <w:szCs w:val="24"/>
          <w:lang w:val="en-US" w:eastAsia="zh-CN" w:bidi="ar-SA"/>
        </w:rPr>
        <w:t>[11</w:t>
      </w:r>
      <w:r>
        <w:rPr>
          <w:rFonts w:hint="default" w:cs="Times New Roman"/>
          <w:szCs w:val="24"/>
          <w:lang w:val="en-US" w:eastAsia="zh-CN" w:bidi="ar-SA"/>
        </w:rPr>
        <w:t>]      A. A. Rafiq, A. Quadri, L. A. Nazir, K.. Peerzada, B. A. Ganai, and S. A. Tasduq</w:t>
      </w:r>
      <w:r>
        <w:rPr>
          <w:rFonts w:hint="default" w:ascii="Times New Roman" w:hAnsi="Times New Roman" w:eastAsia="Times New Roman" w:cs="Times New Roman"/>
          <w:szCs w:val="24"/>
          <w:lang w:val="en-US" w:eastAsia="zh-CN" w:bidi="ar-SA"/>
        </w:rPr>
        <w:t>, "</w:t>
      </w:r>
      <w:r>
        <w:rPr>
          <w:rFonts w:hint="default" w:cs="Times New Roman"/>
          <w:szCs w:val="24"/>
          <w:lang w:val="en-US" w:eastAsia="zh-CN" w:bidi="ar-SA"/>
        </w:rPr>
        <w:t>A potent inhibitor of phosphoinositide 3-kinase (PI3K) and mitogen activated protein (MAP) kinase signalling, quercetin (3, 3’, 4’, 5, 7-Pentahydroxyflavone) promotes c</w:t>
      </w:r>
      <w:r>
        <w:rPr>
          <w:rFonts w:hint="default" w:cs="Times New Roman"/>
          <w:szCs w:val="24"/>
          <w:highlight w:val="none"/>
          <w:lang w:val="en-US" w:eastAsia="zh-CN" w:bidi="ar-SA"/>
        </w:rPr>
        <w:t>ell death in ultraviolet (UV)-B-Irradiated B16F10 melanoma cells</w:t>
      </w:r>
      <w:r>
        <w:rPr>
          <w:highlight w:val="none"/>
        </w:rPr>
        <w:t>,</w:t>
      </w:r>
      <w:r>
        <w:rPr>
          <w:i/>
          <w:iCs/>
          <w:highlight w:val="none"/>
        </w:rPr>
        <w:t>"</w:t>
      </w:r>
      <w:r>
        <w:rPr>
          <w:rFonts w:hint="default"/>
          <w:i/>
          <w:iCs/>
          <w:highlight w:val="none"/>
          <w:lang w:val="en-US"/>
        </w:rPr>
        <w:t xml:space="preserve"> </w:t>
      </w:r>
      <w:r>
        <w:rPr>
          <w:rFonts w:hint="default" w:cs="Times New Roman"/>
          <w:i/>
          <w:iCs/>
          <w:szCs w:val="24"/>
          <w:highlight w:val="none"/>
          <w:lang w:val="en-US" w:eastAsia="zh-CN" w:bidi="ar-SA"/>
        </w:rPr>
        <w:t>PLoS ONE,</w:t>
      </w:r>
      <w:r>
        <w:rPr>
          <w:rFonts w:hint="default" w:cs="Times New Roman"/>
          <w:szCs w:val="24"/>
          <w:highlight w:val="none"/>
          <w:lang w:val="en-US" w:eastAsia="zh-CN" w:bidi="ar-SA"/>
        </w:rPr>
        <w:t xml:space="preserve"> vol. 10, no. e0131253, 2015, doi</w:t>
      </w:r>
      <w:r>
        <w:rPr>
          <w:rFonts w:hint="default" w:ascii="Times New Roman" w:hAnsi="Times New Roman" w:eastAsia="Times New Roman" w:cs="Times New Roman"/>
          <w:szCs w:val="24"/>
          <w:highlight w:val="none"/>
          <w:lang w:val="en-US" w:eastAsia="zh-CN" w:bidi="ar-SA"/>
        </w:rPr>
        <w:t>:</w:t>
      </w:r>
      <w:r>
        <w:rPr>
          <w:rFonts w:hint="default" w:cs="Times New Roman"/>
          <w:szCs w:val="24"/>
          <w:highlight w:val="none"/>
          <w:lang w:val="en-US" w:eastAsia="zh-CN" w:bidi="ar-SA"/>
        </w:rPr>
        <w:t xml:space="preserve"> </w:t>
      </w:r>
      <w:r>
        <w:rPr>
          <w:rFonts w:hint="default" w:ascii="Times New Roman" w:hAnsi="Times New Roman" w:eastAsia="Times New Roman"/>
          <w:szCs w:val="24"/>
          <w:highlight w:val="none"/>
          <w:lang w:val="en-US" w:eastAsia="zh-CN"/>
        </w:rPr>
        <w:t>https://doi.org/10.1371/journal.pone.0131253</w:t>
      </w:r>
    </w:p>
    <w:p w14:paraId="420EB019">
      <w:pPr>
        <w:ind w:left="756" w:leftChars="28" w:hanging="700" w:hangingChars="350"/>
        <w:jc w:val="both"/>
        <w:rPr>
          <w:rFonts w:hint="default" w:cs="Times New Roman"/>
          <w:szCs w:val="24"/>
          <w:highlight w:val="none"/>
          <w:lang w:val="en-US" w:eastAsia="zh-CN" w:bidi="ar-SA"/>
        </w:rPr>
      </w:pPr>
      <w:r>
        <w:rPr>
          <w:rFonts w:hint="default" w:cs="Times New Roman"/>
          <w:szCs w:val="24"/>
          <w:highlight w:val="none"/>
          <w:lang w:val="en-US" w:eastAsia="zh-CN" w:bidi="ar-SA"/>
        </w:rPr>
        <w:t>[12]      G. D’Andrea</w:t>
      </w:r>
      <w:r>
        <w:rPr>
          <w:rFonts w:hint="default" w:ascii="Times New Roman" w:hAnsi="Times New Roman" w:eastAsia="Times New Roman" w:cs="Times New Roman"/>
          <w:szCs w:val="24"/>
          <w:highlight w:val="none"/>
          <w:lang w:val="en-US" w:eastAsia="zh-CN" w:bidi="ar-SA"/>
        </w:rPr>
        <w:t>, "</w:t>
      </w:r>
      <w:r>
        <w:rPr>
          <w:rFonts w:hint="default" w:cs="Times New Roman"/>
          <w:szCs w:val="24"/>
          <w:highlight w:val="none"/>
          <w:lang w:val="en-US" w:eastAsia="zh-CN" w:bidi="ar-SA"/>
        </w:rPr>
        <w:t>Quercetin: A flavonol with multifaceted therapeutic applications?</w:t>
      </w:r>
      <w:r>
        <w:rPr>
          <w:highlight w:val="none"/>
        </w:rPr>
        <w:t>,</w:t>
      </w:r>
      <w:r>
        <w:rPr>
          <w:i/>
          <w:iCs/>
          <w:highlight w:val="none"/>
        </w:rPr>
        <w:t>"</w:t>
      </w:r>
      <w:r>
        <w:rPr>
          <w:rFonts w:hint="default"/>
          <w:i/>
          <w:iCs/>
          <w:highlight w:val="none"/>
          <w:lang w:val="en-US"/>
        </w:rPr>
        <w:t xml:space="preserve"> </w:t>
      </w:r>
      <w:r>
        <w:rPr>
          <w:rFonts w:hint="default" w:cs="Times New Roman"/>
          <w:i/>
          <w:iCs/>
          <w:szCs w:val="24"/>
          <w:highlight w:val="none"/>
          <w:lang w:val="en-US" w:eastAsia="zh-CN" w:bidi="ar-SA"/>
        </w:rPr>
        <w:t>Fitoterapia</w:t>
      </w:r>
      <w:r>
        <w:rPr>
          <w:rFonts w:hint="default" w:cs="Times New Roman"/>
          <w:szCs w:val="24"/>
          <w:highlight w:val="none"/>
          <w:lang w:val="en-US" w:eastAsia="zh-CN" w:bidi="ar-SA"/>
        </w:rPr>
        <w:t>, vol. 106, pp. 256–271, 2015, doi</w:t>
      </w:r>
      <w:r>
        <w:rPr>
          <w:rFonts w:hint="default" w:ascii="Times New Roman" w:hAnsi="Times New Roman" w:eastAsia="Times New Roman" w:cs="Times New Roman"/>
          <w:szCs w:val="24"/>
          <w:highlight w:val="none"/>
          <w:lang w:val="en-US" w:eastAsia="zh-CN" w:bidi="ar-SA"/>
        </w:rPr>
        <w:t>:</w:t>
      </w:r>
      <w:r>
        <w:rPr>
          <w:rFonts w:hint="default" w:cs="Times New Roman"/>
          <w:szCs w:val="24"/>
          <w:highlight w:val="none"/>
          <w:lang w:val="en-US" w:eastAsia="zh-CN" w:bidi="ar-SA"/>
        </w:rPr>
        <w:t xml:space="preserve"> </w:t>
      </w:r>
      <w:r>
        <w:rPr>
          <w:rFonts w:hint="default"/>
          <w:szCs w:val="24"/>
          <w:highlight w:val="none"/>
          <w:lang w:val="en-US" w:eastAsia="zh-CN"/>
        </w:rPr>
        <w:t>https://doi.org/10.1016/j.fitote.2015.09.018</w:t>
      </w:r>
    </w:p>
    <w:p w14:paraId="155BD795">
      <w:pPr>
        <w:ind w:left="756" w:leftChars="28" w:hanging="700" w:hangingChars="350"/>
        <w:jc w:val="both"/>
        <w:rPr>
          <w:rFonts w:hint="default" w:ascii="Times New Roman" w:hAnsi="Times New Roman" w:eastAsia="Times New Roman" w:cs="Times New Roman"/>
          <w:szCs w:val="24"/>
          <w:highlight w:val="none"/>
          <w:lang w:val="en-US" w:eastAsia="zh-CN" w:bidi="ar-SA"/>
        </w:rPr>
      </w:pPr>
      <w:r>
        <w:rPr>
          <w:rFonts w:hint="default" w:cs="Times New Roman"/>
          <w:szCs w:val="24"/>
          <w:highlight w:val="none"/>
          <w:lang w:val="en-US" w:eastAsia="zh-CN" w:bidi="ar-SA"/>
        </w:rPr>
        <w:t>[13]      X. Cai,  Z. Fang, J. Dou, A. Yu, and G. Zhai</w:t>
      </w:r>
      <w:r>
        <w:rPr>
          <w:rFonts w:hint="default" w:ascii="Times New Roman" w:hAnsi="Times New Roman" w:eastAsia="Times New Roman" w:cs="Times New Roman"/>
          <w:szCs w:val="24"/>
          <w:highlight w:val="none"/>
          <w:lang w:val="en-US" w:eastAsia="zh-CN" w:bidi="ar-SA"/>
        </w:rPr>
        <w:t>, "</w:t>
      </w:r>
      <w:r>
        <w:rPr>
          <w:rFonts w:hint="default" w:cs="Times New Roman"/>
          <w:szCs w:val="24"/>
          <w:highlight w:val="none"/>
          <w:lang w:val="en-US" w:eastAsia="zh-CN" w:bidi="ar-SA"/>
        </w:rPr>
        <w:t>Bioavailability of quercetin: problems and promises</w:t>
      </w:r>
      <w:r>
        <w:rPr>
          <w:highlight w:val="none"/>
        </w:rPr>
        <w:t>,</w:t>
      </w:r>
      <w:r>
        <w:rPr>
          <w:i/>
          <w:iCs/>
          <w:highlight w:val="none"/>
        </w:rPr>
        <w:t>"</w:t>
      </w:r>
      <w:r>
        <w:rPr>
          <w:rFonts w:hint="default"/>
          <w:i/>
          <w:iCs/>
          <w:highlight w:val="none"/>
          <w:lang w:val="en-US"/>
        </w:rPr>
        <w:t xml:space="preserve"> </w:t>
      </w:r>
      <w:r>
        <w:rPr>
          <w:rFonts w:hint="default" w:cs="Times New Roman"/>
          <w:i/>
          <w:iCs/>
          <w:szCs w:val="24"/>
          <w:highlight w:val="none"/>
          <w:lang w:val="en-US" w:eastAsia="zh-CN" w:bidi="ar-SA"/>
        </w:rPr>
        <w:t>Current Medicinal Chemistry,</w:t>
      </w:r>
      <w:r>
        <w:rPr>
          <w:rFonts w:hint="default" w:cs="Times New Roman"/>
          <w:szCs w:val="24"/>
          <w:highlight w:val="none"/>
          <w:lang w:val="en-US" w:eastAsia="zh-CN" w:bidi="ar-SA"/>
        </w:rPr>
        <w:t xml:space="preserve"> vol. 20, pp. 2572–2582, 2013, doi</w:t>
      </w:r>
      <w:r>
        <w:rPr>
          <w:rFonts w:hint="default" w:ascii="Times New Roman" w:hAnsi="Times New Roman" w:eastAsia="Times New Roman" w:cs="Times New Roman"/>
          <w:szCs w:val="24"/>
          <w:highlight w:val="none"/>
          <w:lang w:val="en-US" w:eastAsia="zh-CN" w:bidi="ar-SA"/>
        </w:rPr>
        <w:t>:</w:t>
      </w:r>
      <w:r>
        <w:rPr>
          <w:rFonts w:hint="default" w:cs="Times New Roman"/>
          <w:szCs w:val="24"/>
          <w:highlight w:val="none"/>
          <w:lang w:val="en-US" w:eastAsia="zh-CN" w:bidi="ar-SA"/>
        </w:rPr>
        <w:t xml:space="preserve"> </w:t>
      </w:r>
      <w:r>
        <w:rPr>
          <w:rFonts w:hint="default"/>
          <w:szCs w:val="24"/>
          <w:highlight w:val="none"/>
          <w:lang w:val="en-US" w:eastAsia="zh-CN"/>
        </w:rPr>
        <w:t>https://doi.org/10.2174/09298673113209990120</w:t>
      </w:r>
    </w:p>
    <w:p w14:paraId="260E57B9">
      <w:pPr>
        <w:ind w:left="756" w:leftChars="28" w:hanging="700" w:hangingChars="350"/>
        <w:jc w:val="both"/>
        <w:rPr>
          <w:rFonts w:hint="default" w:cs="Times New Roman"/>
          <w:szCs w:val="24"/>
          <w:lang w:val="en-US" w:eastAsia="zh-CN" w:bidi="ar-SA"/>
        </w:rPr>
      </w:pPr>
      <w:r>
        <w:rPr>
          <w:rFonts w:hint="default" w:ascii="Times New Roman" w:hAnsi="Times New Roman" w:eastAsia="Times New Roman" w:cs="Times New Roman"/>
          <w:szCs w:val="24"/>
          <w:lang w:val="en-US" w:eastAsia="zh-CN" w:bidi="ar-SA"/>
        </w:rPr>
        <w:fldChar w:fldCharType="end"/>
      </w:r>
      <w:r>
        <w:rPr>
          <w:rFonts w:hint="default" w:cs="Times New Roman"/>
          <w:szCs w:val="24"/>
          <w:lang w:val="en-US" w:eastAsia="zh-CN" w:bidi="ar-SA"/>
        </w:rPr>
        <w:t xml:space="preserve">[14]      J. P. J. Merlin, B. Venkadesh, R. Hussain, N. R. Prasad, S. M. A. Shibl, A. V. Raj, and S. S. Rajan, </w:t>
      </w: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Paclitaxel loaded poly-d,l-lactide-co-glycolide nanoparticles: Enhanced anticancer effect in non-small cell lung carcinoma cell line</w:t>
      </w:r>
      <w:r>
        <w:t>,</w:t>
      </w:r>
      <w:r>
        <w:rPr>
          <w:i/>
          <w:iCs/>
        </w:rPr>
        <w:t>"</w:t>
      </w:r>
      <w:r>
        <w:rPr>
          <w:rFonts w:hint="default"/>
          <w:i/>
          <w:iCs/>
          <w:lang w:val="en-US"/>
        </w:rPr>
        <w:t xml:space="preserve"> </w:t>
      </w:r>
      <w:r>
        <w:rPr>
          <w:rFonts w:hint="default" w:cs="Times New Roman"/>
          <w:i/>
          <w:iCs/>
          <w:szCs w:val="24"/>
          <w:lang w:val="en-US" w:eastAsia="zh-CN" w:bidi="ar-SA"/>
        </w:rPr>
        <w:t>Biomedicine and Preventive Nutrition,</w:t>
      </w:r>
      <w:r>
        <w:rPr>
          <w:rFonts w:hint="default" w:cs="Times New Roman"/>
          <w:szCs w:val="24"/>
          <w:lang w:val="en-US" w:eastAsia="zh-CN" w:bidi="ar-SA"/>
        </w:rPr>
        <w:t xml:space="preserve"> vol. 3, pp. 1-9, 2013, doi: https://doi.org/10.1016/j.bionut.2012.10.016</w:t>
      </w:r>
    </w:p>
    <w:p w14:paraId="1E7961E0">
      <w:pPr>
        <w:ind w:left="756" w:leftChars="28" w:hanging="700" w:hangingChars="350"/>
        <w:jc w:val="both"/>
        <w:rPr>
          <w:rFonts w:hint="default" w:cs="Times New Roman"/>
          <w:szCs w:val="24"/>
          <w:lang w:val="en-US" w:eastAsia="zh-CN" w:bidi="ar-SA"/>
        </w:rPr>
      </w:pPr>
      <w:r>
        <w:rPr>
          <w:rFonts w:hint="default" w:cs="Times New Roman"/>
          <w:szCs w:val="24"/>
          <w:lang w:val="en-US" w:eastAsia="zh-CN" w:bidi="ar-SA"/>
        </w:rPr>
        <w:t>[15]     P. Kumar, A. Nagarajan, and P. D. Uchil</w:t>
      </w:r>
      <w:r>
        <w:rPr>
          <w:rFonts w:hint="default" w:ascii="Times New Roman" w:hAnsi="Times New Roman" w:eastAsia="Times New Roman" w:cs="Times New Roman"/>
          <w:szCs w:val="24"/>
          <w:lang w:val="en-US" w:eastAsia="zh-CN" w:bidi="ar-SA"/>
        </w:rPr>
        <w:t>, "</w:t>
      </w:r>
      <w:r>
        <w:rPr>
          <w:rFonts w:hint="default" w:cs="Times New Roman"/>
          <w:szCs w:val="24"/>
          <w:lang w:val="en-US" w:eastAsia="zh-CN" w:bidi="ar-SA"/>
        </w:rPr>
        <w:t>Analysis of Cell Viability by the Lactate Dehydrogenase Assay</w:t>
      </w:r>
      <w:r>
        <w:t>,</w:t>
      </w:r>
      <w:r>
        <w:rPr>
          <w:i/>
          <w:iCs/>
        </w:rPr>
        <w:t>"</w:t>
      </w:r>
      <w:r>
        <w:rPr>
          <w:rFonts w:hint="default"/>
          <w:i/>
          <w:iCs/>
          <w:lang w:val="en-US"/>
        </w:rPr>
        <w:t xml:space="preserve"> </w:t>
      </w:r>
      <w:r>
        <w:rPr>
          <w:rFonts w:hint="default" w:cs="Times New Roman"/>
          <w:i/>
          <w:iCs/>
          <w:szCs w:val="24"/>
          <w:lang w:val="en-US" w:eastAsia="zh-CN" w:bidi="ar-SA"/>
        </w:rPr>
        <w:t>Cold Spring Harbor Protocol,</w:t>
      </w:r>
      <w:r>
        <w:rPr>
          <w:rFonts w:hint="default" w:cs="Times New Roman"/>
          <w:szCs w:val="24"/>
          <w:lang w:val="en-US" w:eastAsia="zh-CN" w:bidi="ar-SA"/>
        </w:rPr>
        <w:t xml:space="preserve"> vol. 2018, no. pdb.prot095497, 2018, doi: https://doi.org/10.1101/pdb.prot095497</w:t>
      </w:r>
    </w:p>
    <w:p w14:paraId="21041A85">
      <w:pPr>
        <w:ind w:left="756" w:leftChars="28" w:hanging="700" w:hangingChars="350"/>
        <w:jc w:val="both"/>
        <w:rPr>
          <w:rFonts w:hint="default" w:cs="Times New Roman"/>
          <w:szCs w:val="24"/>
          <w:lang w:val="en-US" w:eastAsia="zh-CN" w:bidi="ar-SA"/>
        </w:rPr>
      </w:pPr>
      <w:r>
        <w:rPr>
          <w:rFonts w:hint="default" w:cs="Times New Roman"/>
          <w:szCs w:val="24"/>
          <w:lang w:val="en-US" w:eastAsia="zh-CN" w:bidi="ar-SA"/>
        </w:rPr>
        <w:t>[16]    A. Adan, Y. Kiraz, and  Y. Baran</w:t>
      </w:r>
      <w:r>
        <w:rPr>
          <w:rFonts w:hint="default" w:ascii="Times New Roman" w:hAnsi="Times New Roman" w:eastAsia="Times New Roman" w:cs="Times New Roman"/>
          <w:szCs w:val="24"/>
          <w:lang w:val="en-US" w:eastAsia="zh-CN" w:bidi="ar-SA"/>
        </w:rPr>
        <w:t>, "</w:t>
      </w:r>
      <w:r>
        <w:rPr>
          <w:rFonts w:hint="default" w:cs="Times New Roman"/>
          <w:szCs w:val="24"/>
          <w:lang w:val="en-US" w:eastAsia="zh-CN" w:bidi="ar-SA"/>
        </w:rPr>
        <w:t>Cell Proliferation and Cytotoxicity Assays</w:t>
      </w:r>
      <w:r>
        <w:t>,</w:t>
      </w:r>
      <w:r>
        <w:rPr>
          <w:i/>
          <w:iCs/>
        </w:rPr>
        <w:t>"</w:t>
      </w:r>
      <w:r>
        <w:rPr>
          <w:rFonts w:hint="default"/>
          <w:i/>
          <w:iCs/>
          <w:lang w:val="en-US"/>
        </w:rPr>
        <w:t xml:space="preserve"> </w:t>
      </w:r>
      <w:r>
        <w:rPr>
          <w:rFonts w:hint="default" w:cs="Times New Roman"/>
          <w:i/>
          <w:iCs/>
          <w:szCs w:val="24"/>
          <w:lang w:val="en-US" w:eastAsia="zh-CN" w:bidi="ar-SA"/>
        </w:rPr>
        <w:t>Current Pharmaceutical Biotechnology,</w:t>
      </w:r>
      <w:r>
        <w:rPr>
          <w:rFonts w:hint="default" w:cs="Times New Roman"/>
          <w:szCs w:val="24"/>
          <w:lang w:val="en-US" w:eastAsia="zh-CN" w:bidi="ar-SA"/>
        </w:rPr>
        <w:t xml:space="preserve"> vol. 17, pp. 1213–1221, 2016, doi: https://doi.org/10.2174/1389201017666160808160513</w:t>
      </w:r>
    </w:p>
    <w:p w14:paraId="5375059B">
      <w:pPr>
        <w:ind w:left="756" w:leftChars="28" w:hanging="700" w:hangingChars="350"/>
        <w:jc w:val="both"/>
        <w:rPr>
          <w:rFonts w:hint="default" w:cs="Times New Roman"/>
          <w:szCs w:val="24"/>
          <w:lang w:val="en-US" w:eastAsia="zh-CN" w:bidi="ar-SA"/>
        </w:rPr>
      </w:pPr>
      <w:r>
        <w:rPr>
          <w:rFonts w:hint="default" w:cs="Times New Roman"/>
          <w:szCs w:val="24"/>
          <w:lang w:val="en-US" w:eastAsia="zh-CN" w:bidi="ar-SA"/>
        </w:rPr>
        <w:t>[17]    F. A. R. dos Santos, J. A. Xavier, F. C. da Silva, J. P. J. Merlin, M. O. F. Goulart, and H. P. V. Rupasinghe</w:t>
      </w:r>
      <w:r>
        <w:rPr>
          <w:rFonts w:hint="default" w:ascii="Times New Roman" w:hAnsi="Times New Roman" w:eastAsia="Times New Roman" w:cs="Times New Roman"/>
          <w:szCs w:val="24"/>
          <w:lang w:val="en-US" w:eastAsia="zh-CN" w:bidi="ar-SA"/>
        </w:rPr>
        <w:t>, "</w:t>
      </w:r>
      <w:r>
        <w:rPr>
          <w:rFonts w:hint="default" w:cs="Times New Roman"/>
          <w:szCs w:val="24"/>
          <w:lang w:val="en-US" w:eastAsia="zh-CN" w:bidi="ar-SA"/>
        </w:rPr>
        <w:t>Antidiabetic, Antiglycation, and Antioxidant Activities of Ethanolic Seed Extract of Passiflora edulis and Piceatannol In Vitro</w:t>
      </w:r>
      <w:r>
        <w:t>,</w:t>
      </w:r>
      <w:r>
        <w:rPr>
          <w:i/>
          <w:iCs/>
        </w:rPr>
        <w:t>"</w:t>
      </w:r>
      <w:r>
        <w:rPr>
          <w:rFonts w:hint="default"/>
          <w:i/>
          <w:iCs/>
          <w:lang w:val="en-US"/>
        </w:rPr>
        <w:t xml:space="preserve"> </w:t>
      </w:r>
      <w:r>
        <w:rPr>
          <w:rFonts w:hint="default" w:cs="Times New Roman"/>
          <w:i/>
          <w:iCs/>
          <w:szCs w:val="24"/>
          <w:lang w:val="en-US" w:eastAsia="zh-CN" w:bidi="ar-SA"/>
        </w:rPr>
        <w:t>Molecules,</w:t>
      </w:r>
      <w:r>
        <w:rPr>
          <w:rFonts w:hint="default" w:cs="Times New Roman"/>
          <w:szCs w:val="24"/>
          <w:lang w:val="en-US" w:eastAsia="zh-CN" w:bidi="ar-SA"/>
        </w:rPr>
        <w:t xml:space="preserve"> vol. 27, no. 4064, 2022, doi: https://doi.org/10.3390/molecules27134064</w:t>
      </w:r>
    </w:p>
    <w:p w14:paraId="4D99BFF2">
      <w:pPr>
        <w:keepNext w:val="0"/>
        <w:keepLines w:val="0"/>
        <w:widowControl/>
        <w:suppressLineNumbers w:val="0"/>
        <w:ind w:left="700" w:hanging="700" w:hangingChars="350"/>
        <w:jc w:val="both"/>
        <w:rPr>
          <w:rFonts w:hint="default" w:cs="Times New Roman"/>
          <w:szCs w:val="24"/>
          <w:lang w:val="en-US" w:eastAsia="zh-CN" w:bidi="ar-SA"/>
        </w:rPr>
      </w:pPr>
      <w:r>
        <w:rPr>
          <w:rFonts w:hint="default" w:cs="Times New Roman"/>
          <w:szCs w:val="24"/>
          <w:lang w:val="en-US" w:eastAsia="zh-CN" w:bidi="ar-SA"/>
        </w:rPr>
        <w:t xml:space="preserve">[18]     </w:t>
      </w:r>
      <w:r>
        <w:rPr>
          <w:rFonts w:hint="default" w:ascii="Times New Roman" w:hAnsi="Times New Roman" w:eastAsia="Times New Roman" w:cs="Times New Roman"/>
          <w:szCs w:val="24"/>
          <w:lang w:val="en-US" w:eastAsia="zh-CN" w:bidi="ar-SA"/>
        </w:rPr>
        <w:t xml:space="preserve">J. P. J. Merlin, B. Venkadesh, S. S. Rajan, and P. Subramaniam, “Multidrug Resistance for Cancer Treatment: Delivery of Ursolic Acid and Caffeine by Poly (Lactic-Co-Glycolic Acid) Nanoparticles,” </w:t>
      </w:r>
      <w:r>
        <w:rPr>
          <w:rFonts w:hint="default" w:ascii="Times New Roman" w:hAnsi="Times New Roman" w:eastAsia="Times New Roman" w:cs="Times New Roman"/>
          <w:i/>
          <w:iCs/>
          <w:szCs w:val="24"/>
          <w:lang w:val="en-US" w:eastAsia="zh-CN" w:bidi="ar-SA"/>
        </w:rPr>
        <w:t>Journal of Cancer Science and Research,</w:t>
      </w:r>
      <w:r>
        <w:rPr>
          <w:rFonts w:hint="default" w:ascii="Times New Roman" w:hAnsi="Times New Roman" w:eastAsia="Times New Roman" w:cs="Times New Roman"/>
          <w:szCs w:val="24"/>
          <w:lang w:val="en-US" w:eastAsia="zh-CN" w:bidi="ar-SA"/>
        </w:rPr>
        <w:t xml:space="preserve"> vol. 3, no. S2, 2017, doi</w:t>
      </w:r>
      <w:r>
        <w:rPr>
          <w:rFonts w:hint="default" w:cs="Times New Roman"/>
          <w:szCs w:val="24"/>
          <w:lang w:val="en-US" w:eastAsia="zh-CN" w:bidi="ar-SA"/>
        </w:rPr>
        <w:t>: https://doi.org/1</w:t>
      </w:r>
      <w:r>
        <w:rPr>
          <w:rFonts w:hint="default" w:ascii="Times New Roman" w:hAnsi="Times New Roman" w:eastAsia="Times New Roman" w:cs="Times New Roman"/>
          <w:szCs w:val="24"/>
          <w:lang w:val="en-US" w:eastAsia="zh-CN" w:bidi="ar-SA"/>
        </w:rPr>
        <w:t>0.4172/2576-1447.1000S2-010</w:t>
      </w:r>
    </w:p>
    <w:p w14:paraId="3D2606EC">
      <w:pPr>
        <w:keepNext w:val="0"/>
        <w:keepLines w:val="0"/>
        <w:widowControl/>
        <w:suppressLineNumbers w:val="0"/>
        <w:ind w:left="700" w:hanging="700" w:hangingChars="35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cs="Times New Roman"/>
          <w:szCs w:val="24"/>
          <w:lang w:val="en-US" w:eastAsia="zh-CN" w:bidi="ar-SA"/>
        </w:rPr>
        <w:t>[19]</w:t>
      </w:r>
      <w:r>
        <w:rPr>
          <w:rFonts w:hint="default" w:cs="Times New Roman"/>
          <w:szCs w:val="24"/>
          <w:lang w:val="en-US" w:eastAsia="zh-CN" w:bidi="ar-SA"/>
        </w:rPr>
        <w:t xml:space="preserve">    Y. </w:t>
      </w:r>
      <w:r>
        <w:rPr>
          <w:rFonts w:hint="default" w:ascii="Times New Roman" w:hAnsi="Times New Roman" w:eastAsia="Times New Roman" w:cs="Times New Roman"/>
          <w:szCs w:val="24"/>
          <w:lang w:val="en-US" w:eastAsia="zh-CN" w:bidi="ar-SA"/>
        </w:rPr>
        <w:t xml:space="preserve">Jiang, </w:t>
      </w:r>
      <w:r>
        <w:rPr>
          <w:rFonts w:hint="default" w:cs="Times New Roman"/>
          <w:szCs w:val="24"/>
          <w:lang w:val="en-US" w:eastAsia="zh-CN" w:bidi="ar-SA"/>
        </w:rPr>
        <w:t xml:space="preserve">X. </w:t>
      </w:r>
      <w:r>
        <w:rPr>
          <w:rFonts w:hint="default" w:ascii="Times New Roman" w:hAnsi="Times New Roman" w:eastAsia="Times New Roman" w:cs="Times New Roman"/>
          <w:szCs w:val="24"/>
          <w:lang w:val="en-US" w:eastAsia="zh-CN" w:bidi="ar-SA"/>
        </w:rPr>
        <w:t xml:space="preserve">Xia, </w:t>
      </w:r>
      <w:r>
        <w:rPr>
          <w:rFonts w:hint="default" w:cs="Times New Roman"/>
          <w:szCs w:val="24"/>
          <w:lang w:val="en-US" w:eastAsia="zh-CN" w:bidi="ar-SA"/>
        </w:rPr>
        <w:t xml:space="preserve">A. W. </w:t>
      </w:r>
      <w:r>
        <w:rPr>
          <w:rFonts w:hint="default" w:ascii="Times New Roman" w:hAnsi="Times New Roman" w:eastAsia="Times New Roman" w:cs="Times New Roman"/>
          <w:szCs w:val="24"/>
          <w:lang w:val="en-US" w:eastAsia="zh-CN" w:bidi="ar-SA"/>
        </w:rPr>
        <w:t xml:space="preserve">Leung, </w:t>
      </w:r>
      <w:r>
        <w:rPr>
          <w:rFonts w:hint="default" w:cs="Times New Roman"/>
          <w:szCs w:val="24"/>
          <w:lang w:val="en-US" w:eastAsia="zh-CN" w:bidi="ar-SA"/>
        </w:rPr>
        <w:t xml:space="preserve">J. </w:t>
      </w:r>
      <w:r>
        <w:rPr>
          <w:rFonts w:hint="default" w:ascii="Times New Roman" w:hAnsi="Times New Roman" w:eastAsia="Times New Roman" w:cs="Times New Roman"/>
          <w:szCs w:val="24"/>
          <w:lang w:val="en-US" w:eastAsia="zh-CN" w:bidi="ar-SA"/>
        </w:rPr>
        <w:t xml:space="preserve">Xiang, </w:t>
      </w:r>
      <w:r>
        <w:rPr>
          <w:rFonts w:hint="default" w:cs="Times New Roman"/>
          <w:szCs w:val="24"/>
          <w:lang w:val="en-US" w:eastAsia="zh-CN" w:bidi="ar-SA"/>
        </w:rPr>
        <w:t xml:space="preserve">and C. </w:t>
      </w:r>
      <w:r>
        <w:rPr>
          <w:rFonts w:hint="default" w:ascii="Times New Roman" w:hAnsi="Times New Roman" w:eastAsia="Times New Roman" w:cs="Times New Roman"/>
          <w:szCs w:val="24"/>
          <w:lang w:val="en-US" w:eastAsia="zh-CN" w:bidi="ar-SA"/>
        </w:rPr>
        <w:t>Xu</w:t>
      </w:r>
      <w:r>
        <w:rPr>
          <w:rFonts w:hint="default" w:cs="Times New Roman"/>
          <w:szCs w:val="24"/>
          <w:lang w:val="en-US" w:eastAsia="zh-CN" w:bidi="ar-SA"/>
        </w:rPr>
        <w:t>,</w:t>
      </w:r>
      <w:r>
        <w:rPr>
          <w:rFonts w:hint="default" w:ascii="Times New Roman" w:hAnsi="Times New Roman" w:eastAsia="Times New Roman" w:cs="Times New Roman"/>
          <w:szCs w:val="24"/>
          <w:lang w:val="en-US" w:eastAsia="zh-CN" w:bidi="ar-SA"/>
        </w:rPr>
        <w:t xml:space="preserve"> “Apoptosis of breast cancer cells induced by hypocrellin B under light-emitting diode irradiation,” </w:t>
      </w:r>
      <w:r>
        <w:rPr>
          <w:rFonts w:hint="default" w:ascii="Times New Roman" w:hAnsi="Times New Roman" w:eastAsia="Times New Roman" w:cs="Times New Roman"/>
          <w:i/>
          <w:iCs/>
          <w:szCs w:val="24"/>
          <w:lang w:val="en-US" w:eastAsia="zh-CN" w:bidi="ar-SA"/>
        </w:rPr>
        <w:t>Photodiagnosis</w:t>
      </w:r>
      <w:r>
        <w:rPr>
          <w:rFonts w:hint="default" w:cs="Times New Roman"/>
          <w:i/>
          <w:iCs/>
          <w:szCs w:val="24"/>
          <w:lang w:val="en-US" w:eastAsia="zh-CN" w:bidi="ar-SA"/>
        </w:rPr>
        <w:t xml:space="preserve"> and </w:t>
      </w:r>
      <w:r>
        <w:rPr>
          <w:rFonts w:hint="default" w:ascii="Times New Roman" w:hAnsi="Times New Roman" w:eastAsia="Times New Roman" w:cs="Times New Roman"/>
          <w:i/>
          <w:iCs/>
          <w:szCs w:val="24"/>
          <w:lang w:val="en-US" w:eastAsia="zh-CN" w:bidi="ar-SA"/>
        </w:rPr>
        <w:t>Photodyn</w:t>
      </w:r>
      <w:r>
        <w:rPr>
          <w:rFonts w:hint="default" w:cs="Times New Roman"/>
          <w:i/>
          <w:iCs/>
          <w:szCs w:val="24"/>
          <w:lang w:val="en-US" w:eastAsia="zh-CN" w:bidi="ar-SA"/>
        </w:rPr>
        <w:t>amic</w:t>
      </w:r>
      <w:r>
        <w:rPr>
          <w:rFonts w:hint="default" w:ascii="Times New Roman" w:hAnsi="Times New Roman" w:eastAsia="Times New Roman" w:cs="Times New Roman"/>
          <w:i/>
          <w:iCs/>
          <w:szCs w:val="24"/>
          <w:lang w:val="en-US" w:eastAsia="zh-CN" w:bidi="ar-SA"/>
        </w:rPr>
        <w:t xml:space="preserve"> Ther</w:t>
      </w:r>
      <w:r>
        <w:rPr>
          <w:rFonts w:hint="default" w:cs="Times New Roman"/>
          <w:i/>
          <w:iCs/>
          <w:szCs w:val="24"/>
          <w:lang w:val="en-US" w:eastAsia="zh-CN" w:bidi="ar-SA"/>
        </w:rPr>
        <w:t>apy,</w:t>
      </w:r>
      <w:r>
        <w:rPr>
          <w:rFonts w:hint="default" w:cs="Times New Roman"/>
          <w:szCs w:val="24"/>
          <w:lang w:val="en-US" w:eastAsia="zh-CN" w:bidi="ar-SA"/>
        </w:rPr>
        <w:t xml:space="preserve"> vol. </w:t>
      </w:r>
      <w:r>
        <w:rPr>
          <w:rFonts w:hint="default" w:ascii="Times New Roman" w:hAnsi="Times New Roman" w:eastAsia="Times New Roman" w:cs="Times New Roman"/>
          <w:szCs w:val="24"/>
          <w:lang w:val="en-US" w:eastAsia="zh-CN" w:bidi="ar-SA"/>
        </w:rPr>
        <w:t>9</w:t>
      </w:r>
      <w:r>
        <w:rPr>
          <w:rFonts w:hint="default" w:cs="Times New Roman"/>
          <w:szCs w:val="24"/>
          <w:lang w:val="en-US" w:eastAsia="zh-CN" w:bidi="ar-SA"/>
        </w:rPr>
        <w:t xml:space="preserve">, pp. </w:t>
      </w:r>
      <w:r>
        <w:rPr>
          <w:rFonts w:hint="default" w:ascii="Times New Roman" w:hAnsi="Times New Roman" w:eastAsia="Times New Roman" w:cs="Times New Roman"/>
          <w:szCs w:val="24"/>
          <w:lang w:val="en-US" w:eastAsia="zh-CN" w:bidi="ar-SA"/>
        </w:rPr>
        <w:t>337–</w:t>
      </w:r>
      <w:r>
        <w:rPr>
          <w:rFonts w:hint="default" w:cs="Times New Roman"/>
          <w:szCs w:val="24"/>
          <w:lang w:val="en-US" w:eastAsia="zh-CN" w:bidi="ar-SA"/>
        </w:rPr>
        <w:t>3</w:t>
      </w:r>
      <w:r>
        <w:rPr>
          <w:rFonts w:hint="default" w:ascii="Times New Roman" w:hAnsi="Times New Roman" w:eastAsia="Times New Roman" w:cs="Times New Roman"/>
          <w:szCs w:val="24"/>
          <w:lang w:val="en-US" w:eastAsia="zh-CN" w:bidi="ar-SA"/>
        </w:rPr>
        <w:t>43</w:t>
      </w:r>
      <w:r>
        <w:rPr>
          <w:rFonts w:hint="default" w:cs="Times New Roman"/>
          <w:szCs w:val="24"/>
          <w:lang w:val="en-US" w:eastAsia="zh-CN" w:bidi="ar-SA"/>
        </w:rPr>
        <w:t>, 2012, doi</w:t>
      </w:r>
      <w:r>
        <w:rPr>
          <w:rFonts w:hint="default" w:ascii="Times New Roman" w:hAnsi="Times New Roman" w:eastAsia="Times New Roman" w:cs="Times New Roman"/>
          <w:szCs w:val="24"/>
          <w:lang w:val="en-US" w:eastAsia="zh-CN" w:bidi="ar-SA"/>
        </w:rPr>
        <w:t>: https://doi.org/10.1016/j.pdpdt.2012.03.009</w:t>
      </w:r>
    </w:p>
    <w:p w14:paraId="76E45037">
      <w:pPr>
        <w:keepNext w:val="0"/>
        <w:keepLines w:val="0"/>
        <w:widowControl/>
        <w:suppressLineNumbers w:val="0"/>
        <w:ind w:left="700" w:hanging="700" w:hangingChars="35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20</w:t>
      </w:r>
      <w:r>
        <w:rPr>
          <w:rFonts w:hint="default" w:ascii="Times New Roman" w:hAnsi="Times New Roman" w:eastAsia="Times New Roman" w:cs="Times New Roman"/>
          <w:szCs w:val="24"/>
          <w:lang w:val="en-US" w:eastAsia="zh-CN" w:bidi="ar-SA"/>
        </w:rPr>
        <w:t>]</w:t>
      </w:r>
      <w:r>
        <w:rPr>
          <w:rFonts w:hint="default" w:ascii="Times New Roman" w:hAnsi="Times New Roman" w:eastAsia="Times New Roman" w:cs="Times New Roman"/>
          <w:szCs w:val="24"/>
          <w:lang w:val="en-US" w:eastAsia="zh-CN" w:bidi="ar-SA"/>
        </w:rPr>
        <w:tab/>
      </w:r>
      <w:r>
        <w:rPr>
          <w:rFonts w:hint="default" w:cs="Times New Roman"/>
          <w:szCs w:val="24"/>
          <w:lang w:val="en-US" w:eastAsia="zh-CN" w:bidi="ar-SA"/>
        </w:rPr>
        <w:t xml:space="preserve">Y. </w:t>
      </w:r>
      <w:r>
        <w:rPr>
          <w:rFonts w:hint="default" w:ascii="Times New Roman" w:hAnsi="Times New Roman" w:eastAsia="Times New Roman" w:cs="Times New Roman"/>
          <w:szCs w:val="24"/>
          <w:lang w:val="en-US" w:eastAsia="zh-CN" w:bidi="ar-SA"/>
        </w:rPr>
        <w:t xml:space="preserve">Hu, </w:t>
      </w:r>
      <w:r>
        <w:rPr>
          <w:rFonts w:hint="default" w:cs="Times New Roman"/>
          <w:szCs w:val="24"/>
          <w:lang w:val="en-US" w:eastAsia="zh-CN" w:bidi="ar-SA"/>
        </w:rPr>
        <w:t xml:space="preserve">C. </w:t>
      </w:r>
      <w:r>
        <w:rPr>
          <w:rFonts w:hint="default" w:ascii="Times New Roman" w:hAnsi="Times New Roman" w:eastAsia="Times New Roman" w:cs="Times New Roman"/>
          <w:szCs w:val="24"/>
          <w:lang w:val="en-US" w:eastAsia="zh-CN" w:bidi="ar-SA"/>
        </w:rPr>
        <w:t xml:space="preserve">Zhang, </w:t>
      </w:r>
      <w:r>
        <w:rPr>
          <w:rFonts w:hint="default" w:cs="Times New Roman"/>
          <w:szCs w:val="24"/>
          <w:lang w:val="en-US" w:eastAsia="zh-CN" w:bidi="ar-SA"/>
        </w:rPr>
        <w:t xml:space="preserve">S. </w:t>
      </w:r>
      <w:r>
        <w:rPr>
          <w:rFonts w:hint="default" w:ascii="Times New Roman" w:hAnsi="Times New Roman" w:eastAsia="Times New Roman" w:cs="Times New Roman"/>
          <w:szCs w:val="24"/>
          <w:lang w:val="en-US" w:eastAsia="zh-CN" w:bidi="ar-SA"/>
        </w:rPr>
        <w:t xml:space="preserve">Li, </w:t>
      </w:r>
      <w:r>
        <w:rPr>
          <w:rFonts w:hint="default" w:cs="Times New Roman"/>
          <w:szCs w:val="24"/>
          <w:lang w:val="en-US" w:eastAsia="zh-CN" w:bidi="ar-SA"/>
        </w:rPr>
        <w:t xml:space="preserve">Y. </w:t>
      </w:r>
      <w:r>
        <w:rPr>
          <w:rFonts w:hint="default" w:ascii="Times New Roman" w:hAnsi="Times New Roman" w:eastAsia="Times New Roman" w:cs="Times New Roman"/>
          <w:szCs w:val="24"/>
          <w:lang w:val="en-US" w:eastAsia="zh-CN" w:bidi="ar-SA"/>
        </w:rPr>
        <w:t xml:space="preserve">Jiao, </w:t>
      </w:r>
      <w:r>
        <w:rPr>
          <w:rFonts w:hint="default" w:cs="Times New Roman"/>
          <w:szCs w:val="24"/>
          <w:lang w:val="en-US" w:eastAsia="zh-CN" w:bidi="ar-SA"/>
        </w:rPr>
        <w:t xml:space="preserve">T. </w:t>
      </w:r>
      <w:r>
        <w:rPr>
          <w:rFonts w:hint="default" w:ascii="Times New Roman" w:hAnsi="Times New Roman" w:eastAsia="Times New Roman" w:cs="Times New Roman"/>
          <w:szCs w:val="24"/>
          <w:lang w:val="en-US" w:eastAsia="zh-CN" w:bidi="ar-SA"/>
        </w:rPr>
        <w:t xml:space="preserve">Qi, </w:t>
      </w:r>
      <w:r>
        <w:rPr>
          <w:rFonts w:hint="default" w:cs="Times New Roman"/>
          <w:szCs w:val="24"/>
          <w:lang w:val="en-US" w:eastAsia="zh-CN" w:bidi="ar-SA"/>
        </w:rPr>
        <w:t xml:space="preserve">G. </w:t>
      </w:r>
      <w:r>
        <w:rPr>
          <w:rFonts w:hint="default" w:ascii="Times New Roman" w:hAnsi="Times New Roman" w:eastAsia="Times New Roman" w:cs="Times New Roman"/>
          <w:szCs w:val="24"/>
          <w:lang w:val="en-US" w:eastAsia="zh-CN" w:bidi="ar-SA"/>
        </w:rPr>
        <w:t>Wei, et al</w:t>
      </w:r>
      <w:r>
        <w:rPr>
          <w:rFonts w:hint="default" w:cs="Times New Roman"/>
          <w:szCs w:val="24"/>
          <w:lang w:val="en-US" w:eastAsia="zh-CN" w:bidi="ar-SA"/>
        </w:rPr>
        <w:t>,</w:t>
      </w:r>
      <w:r>
        <w:rPr>
          <w:rFonts w:hint="default" w:ascii="Times New Roman" w:hAnsi="Times New Roman" w:eastAsia="Times New Roman" w:cs="Times New Roman"/>
          <w:szCs w:val="24"/>
          <w:lang w:val="en-US" w:eastAsia="zh-CN" w:bidi="ar-SA"/>
        </w:rPr>
        <w:t xml:space="preserve"> “Effects of Photodynamic Therapy Using Yellow LED-light with Concomitant Hypocrellin B on Apoptotic Signaling in Keloid Fibroblasts,” </w:t>
      </w:r>
      <w:r>
        <w:rPr>
          <w:rFonts w:hint="default" w:ascii="Times New Roman" w:hAnsi="Times New Roman" w:eastAsia="Times New Roman" w:cs="Times New Roman"/>
          <w:i/>
          <w:iCs/>
          <w:szCs w:val="24"/>
          <w:lang w:val="en-US" w:eastAsia="zh-CN" w:bidi="ar-SA"/>
        </w:rPr>
        <w:t>Int</w:t>
      </w:r>
      <w:r>
        <w:rPr>
          <w:rFonts w:hint="default" w:cs="Times New Roman"/>
          <w:i/>
          <w:iCs/>
          <w:szCs w:val="24"/>
          <w:lang w:val="en-US" w:eastAsia="zh-CN" w:bidi="ar-SA"/>
        </w:rPr>
        <w:t>ernational</w:t>
      </w:r>
      <w:r>
        <w:rPr>
          <w:rFonts w:hint="default" w:ascii="Times New Roman" w:hAnsi="Times New Roman" w:eastAsia="Times New Roman" w:cs="Times New Roman"/>
          <w:i/>
          <w:iCs/>
          <w:szCs w:val="24"/>
          <w:lang w:val="en-US" w:eastAsia="zh-CN" w:bidi="ar-SA"/>
        </w:rPr>
        <w:t xml:space="preserve"> J</w:t>
      </w:r>
      <w:r>
        <w:rPr>
          <w:rFonts w:hint="default" w:cs="Times New Roman"/>
          <w:i/>
          <w:iCs/>
          <w:szCs w:val="24"/>
          <w:lang w:val="en-US" w:eastAsia="zh-CN" w:bidi="ar-SA"/>
        </w:rPr>
        <w:t xml:space="preserve">ournal of </w:t>
      </w:r>
      <w:r>
        <w:rPr>
          <w:rFonts w:hint="default" w:ascii="Times New Roman" w:hAnsi="Times New Roman" w:eastAsia="Times New Roman" w:cs="Times New Roman"/>
          <w:i/>
          <w:iCs/>
          <w:szCs w:val="24"/>
          <w:lang w:val="en-US" w:eastAsia="zh-CN" w:bidi="ar-SA"/>
        </w:rPr>
        <w:t>Biol</w:t>
      </w:r>
      <w:r>
        <w:rPr>
          <w:rFonts w:hint="default" w:cs="Times New Roman"/>
          <w:i/>
          <w:iCs/>
          <w:szCs w:val="24"/>
          <w:lang w:val="en-US" w:eastAsia="zh-CN" w:bidi="ar-SA"/>
        </w:rPr>
        <w:t>ogical</w:t>
      </w:r>
      <w:r>
        <w:rPr>
          <w:rFonts w:hint="default" w:ascii="Times New Roman" w:hAnsi="Times New Roman" w:eastAsia="Times New Roman" w:cs="Times New Roman"/>
          <w:i/>
          <w:iCs/>
          <w:szCs w:val="24"/>
          <w:lang w:val="en-US" w:eastAsia="zh-CN" w:bidi="ar-SA"/>
        </w:rPr>
        <w:t xml:space="preserve"> Sci</w:t>
      </w:r>
      <w:r>
        <w:rPr>
          <w:rFonts w:hint="default" w:cs="Times New Roman"/>
          <w:i/>
          <w:iCs/>
          <w:szCs w:val="24"/>
          <w:lang w:val="en-US" w:eastAsia="zh-CN" w:bidi="ar-SA"/>
        </w:rPr>
        <w:t>ence,</w:t>
      </w:r>
      <w:r>
        <w:rPr>
          <w:rFonts w:hint="default" w:cs="Times New Roman"/>
          <w:szCs w:val="24"/>
          <w:lang w:val="en-US" w:eastAsia="zh-CN" w:bidi="ar-SA"/>
        </w:rPr>
        <w:t xml:space="preserve"> vol. </w:t>
      </w:r>
      <w:r>
        <w:rPr>
          <w:rFonts w:hint="default" w:ascii="Times New Roman" w:hAnsi="Times New Roman" w:eastAsia="Times New Roman" w:cs="Times New Roman"/>
          <w:szCs w:val="24"/>
          <w:lang w:val="en-US" w:eastAsia="zh-CN" w:bidi="ar-SA"/>
        </w:rPr>
        <w:t>13</w:t>
      </w:r>
      <w:r>
        <w:rPr>
          <w:rFonts w:hint="default" w:cs="Times New Roman"/>
          <w:szCs w:val="24"/>
          <w:lang w:val="en-US" w:eastAsia="zh-CN" w:bidi="ar-SA"/>
        </w:rPr>
        <w:t xml:space="preserve">, pp. </w:t>
      </w:r>
      <w:r>
        <w:rPr>
          <w:rFonts w:hint="default" w:ascii="Times New Roman" w:hAnsi="Times New Roman" w:eastAsia="Times New Roman" w:cs="Times New Roman"/>
          <w:szCs w:val="24"/>
          <w:lang w:val="en-US" w:eastAsia="zh-CN" w:bidi="ar-SA"/>
        </w:rPr>
        <w:t>319–</w:t>
      </w:r>
      <w:r>
        <w:rPr>
          <w:rFonts w:hint="default" w:cs="Times New Roman"/>
          <w:szCs w:val="24"/>
          <w:lang w:val="en-US" w:eastAsia="zh-CN" w:bidi="ar-SA"/>
        </w:rPr>
        <w:t>3</w:t>
      </w:r>
      <w:r>
        <w:rPr>
          <w:rFonts w:hint="default" w:ascii="Times New Roman" w:hAnsi="Times New Roman" w:eastAsia="Times New Roman" w:cs="Times New Roman"/>
          <w:szCs w:val="24"/>
          <w:lang w:val="en-US" w:eastAsia="zh-CN" w:bidi="ar-SA"/>
        </w:rPr>
        <w:t>26</w:t>
      </w:r>
      <w:r>
        <w:rPr>
          <w:rFonts w:hint="default" w:cs="Times New Roman"/>
          <w:szCs w:val="24"/>
          <w:lang w:val="en-US" w:eastAsia="zh-CN" w:bidi="ar-SA"/>
        </w:rPr>
        <w:t>, 2017,</w:t>
      </w:r>
      <w:r>
        <w:rPr>
          <w:rFonts w:hint="default" w:ascii="Times New Roman" w:hAnsi="Times New Roman" w:eastAsia="Times New Roman" w:cs="Times New Roman"/>
          <w:szCs w:val="24"/>
          <w:lang w:val="en-US" w:eastAsia="zh-CN" w:bidi="ar-SA"/>
        </w:rPr>
        <w:t xml:space="preserve"> </w:t>
      </w:r>
      <w:r>
        <w:rPr>
          <w:rFonts w:hint="default" w:cs="Times New Roman"/>
          <w:szCs w:val="24"/>
          <w:lang w:val="en-US" w:eastAsia="zh-CN" w:bidi="ar-SA"/>
        </w:rPr>
        <w:t>doi</w:t>
      </w: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ascii="Times New Roman" w:hAnsi="Times New Roman" w:eastAsia="Times New Roman" w:cs="Times New Roman"/>
          <w:szCs w:val="24"/>
          <w:lang w:val="en-US" w:eastAsia="zh-CN" w:bidi="ar-SA"/>
        </w:rPr>
        <w:t>https://doi.org/10.7150/ijbs.17920</w:t>
      </w:r>
    </w:p>
    <w:p w14:paraId="2FE64EEF">
      <w:pPr>
        <w:keepNext w:val="0"/>
        <w:keepLines w:val="0"/>
        <w:widowControl/>
        <w:suppressLineNumbers w:val="0"/>
        <w:ind w:left="700" w:hanging="700" w:hangingChars="35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2</w:t>
      </w:r>
      <w:r>
        <w:rPr>
          <w:rFonts w:hint="default" w:ascii="Times New Roman" w:hAnsi="Times New Roman" w:eastAsia="Times New Roman" w:cs="Times New Roman"/>
          <w:szCs w:val="24"/>
          <w:lang w:val="en-US" w:eastAsia="zh-CN" w:bidi="ar-SA"/>
        </w:rPr>
        <w:t>1]</w:t>
      </w:r>
      <w:r>
        <w:rPr>
          <w:rFonts w:hint="default" w:ascii="Times New Roman" w:hAnsi="Times New Roman" w:eastAsia="Times New Roman" w:cs="Times New Roman"/>
          <w:szCs w:val="24"/>
          <w:lang w:val="en-US" w:eastAsia="zh-CN" w:bidi="ar-SA"/>
        </w:rPr>
        <w:tab/>
      </w:r>
      <w:r>
        <w:rPr>
          <w:rFonts w:hint="default" w:cs="Times New Roman"/>
          <w:szCs w:val="24"/>
          <w:lang w:val="en-US" w:eastAsia="zh-CN" w:bidi="ar-SA"/>
        </w:rPr>
        <w:t xml:space="preserve">Y. </w:t>
      </w:r>
      <w:r>
        <w:rPr>
          <w:rFonts w:hint="default" w:ascii="Times New Roman" w:hAnsi="Times New Roman" w:eastAsia="Times New Roman" w:cs="Times New Roman"/>
          <w:szCs w:val="24"/>
          <w:lang w:val="en-US" w:eastAsia="zh-CN" w:bidi="ar-SA"/>
        </w:rPr>
        <w:t xml:space="preserve">Jiang, </w:t>
      </w:r>
      <w:r>
        <w:rPr>
          <w:rFonts w:hint="default" w:cs="Times New Roman"/>
          <w:szCs w:val="24"/>
          <w:lang w:val="en-US" w:eastAsia="zh-CN" w:bidi="ar-SA"/>
        </w:rPr>
        <w:t xml:space="preserve">A. W. </w:t>
      </w:r>
      <w:r>
        <w:rPr>
          <w:rFonts w:hint="default" w:ascii="Times New Roman" w:hAnsi="Times New Roman" w:eastAsia="Times New Roman" w:cs="Times New Roman"/>
          <w:szCs w:val="24"/>
          <w:lang w:val="en-US" w:eastAsia="zh-CN" w:bidi="ar-SA"/>
        </w:rPr>
        <w:t xml:space="preserve">Leung, </w:t>
      </w:r>
      <w:r>
        <w:rPr>
          <w:rFonts w:hint="default" w:cs="Times New Roman"/>
          <w:szCs w:val="24"/>
          <w:lang w:val="en-US" w:eastAsia="zh-CN" w:bidi="ar-SA"/>
        </w:rPr>
        <w:t xml:space="preserve">J. </w:t>
      </w:r>
      <w:r>
        <w:rPr>
          <w:rFonts w:hint="default" w:ascii="Times New Roman" w:hAnsi="Times New Roman" w:eastAsia="Times New Roman" w:cs="Times New Roman"/>
          <w:szCs w:val="24"/>
          <w:lang w:val="en-US" w:eastAsia="zh-CN" w:bidi="ar-SA"/>
        </w:rPr>
        <w:t>Xiang,</w:t>
      </w:r>
      <w:r>
        <w:rPr>
          <w:rFonts w:hint="default" w:cs="Times New Roman"/>
          <w:szCs w:val="24"/>
          <w:lang w:val="en-US" w:eastAsia="zh-CN" w:bidi="ar-SA"/>
        </w:rPr>
        <w:t xml:space="preserve">and </w:t>
      </w:r>
      <w:r>
        <w:rPr>
          <w:rFonts w:hint="default" w:ascii="Times New Roman" w:hAnsi="Times New Roman" w:eastAsia="Times New Roman" w:cs="Times New Roman"/>
          <w:szCs w:val="24"/>
          <w:lang w:val="en-US" w:eastAsia="zh-CN" w:bidi="ar-SA"/>
        </w:rPr>
        <w:t xml:space="preserve"> </w:t>
      </w:r>
      <w:r>
        <w:rPr>
          <w:rFonts w:hint="default" w:cs="Times New Roman"/>
          <w:szCs w:val="24"/>
          <w:lang w:val="en-US" w:eastAsia="zh-CN" w:bidi="ar-SA"/>
        </w:rPr>
        <w:t xml:space="preserve">C. </w:t>
      </w:r>
      <w:r>
        <w:rPr>
          <w:rFonts w:hint="default" w:ascii="Times New Roman" w:hAnsi="Times New Roman" w:eastAsia="Times New Roman" w:cs="Times New Roman"/>
          <w:szCs w:val="24"/>
          <w:lang w:val="en-US" w:eastAsia="zh-CN" w:bidi="ar-SA"/>
        </w:rPr>
        <w:t>Xu</w:t>
      </w:r>
      <w:r>
        <w:rPr>
          <w:rFonts w:hint="default" w:cs="Times New Roman"/>
          <w:szCs w:val="24"/>
          <w:lang w:val="en-US" w:eastAsia="zh-CN" w:bidi="ar-SA"/>
        </w:rPr>
        <w:t>,</w:t>
      </w:r>
      <w:r>
        <w:rPr>
          <w:rFonts w:hint="default" w:ascii="Times New Roman" w:hAnsi="Times New Roman" w:eastAsia="Times New Roman" w:cs="Times New Roman"/>
          <w:szCs w:val="24"/>
          <w:lang w:val="en-US" w:eastAsia="zh-CN" w:bidi="ar-SA"/>
        </w:rPr>
        <w:t xml:space="preserve"> “LED Light-Activated Hypocrellin B Induces Mitochondrial Damage of Ovarian Cancer Cells,” </w:t>
      </w:r>
      <w:r>
        <w:rPr>
          <w:rFonts w:hint="default" w:ascii="Times New Roman" w:hAnsi="Times New Roman" w:eastAsia="Times New Roman" w:cs="Times New Roman"/>
          <w:i/>
          <w:iCs/>
          <w:szCs w:val="24"/>
          <w:lang w:val="en-US" w:eastAsia="zh-CN" w:bidi="ar-SA"/>
        </w:rPr>
        <w:t>International Journal of Photoenergy</w:t>
      </w:r>
      <w:r>
        <w:rPr>
          <w:rFonts w:hint="default" w:cs="Times New Roman"/>
          <w:i/>
          <w:iCs/>
          <w:szCs w:val="24"/>
          <w:lang w:val="en-US" w:eastAsia="zh-CN" w:bidi="ar-SA"/>
        </w:rPr>
        <w:t>,</w:t>
      </w:r>
      <w:r>
        <w:rPr>
          <w:rFonts w:hint="default" w:cs="Times New Roman"/>
          <w:szCs w:val="24"/>
          <w:lang w:val="en-US" w:eastAsia="zh-CN" w:bidi="ar-SA"/>
        </w:rPr>
        <w:t xml:space="preserve"> vol. </w:t>
      </w:r>
      <w:r>
        <w:rPr>
          <w:rFonts w:hint="default" w:ascii="Times New Roman" w:hAnsi="Times New Roman" w:eastAsia="Times New Roman" w:cs="Times New Roman"/>
          <w:szCs w:val="24"/>
          <w:lang w:val="en-US" w:eastAsia="zh-CN" w:bidi="ar-SA"/>
        </w:rPr>
        <w:t>2012</w:t>
      </w:r>
      <w:r>
        <w:rPr>
          <w:rFonts w:hint="default" w:cs="Times New Roman"/>
          <w:szCs w:val="24"/>
          <w:lang w:val="en-US" w:eastAsia="zh-CN" w:bidi="ar-SA"/>
        </w:rPr>
        <w:t xml:space="preserve">, pp. </w:t>
      </w:r>
      <w:r>
        <w:rPr>
          <w:rFonts w:hint="default" w:ascii="Times New Roman" w:hAnsi="Times New Roman" w:eastAsia="Times New Roman" w:cs="Times New Roman"/>
          <w:szCs w:val="24"/>
          <w:lang w:val="en-US" w:eastAsia="zh-CN" w:bidi="ar-SA"/>
        </w:rPr>
        <w:t>1–5</w:t>
      </w:r>
      <w:r>
        <w:rPr>
          <w:rFonts w:hint="default" w:cs="Times New Roman"/>
          <w:szCs w:val="24"/>
          <w:lang w:val="en-US" w:eastAsia="zh-CN" w:bidi="ar-SA"/>
        </w:rPr>
        <w:t>, 2012,</w:t>
      </w:r>
      <w:r>
        <w:rPr>
          <w:rFonts w:hint="default" w:ascii="Times New Roman" w:hAnsi="Times New Roman" w:eastAsia="Times New Roman" w:cs="Times New Roman"/>
          <w:szCs w:val="24"/>
          <w:lang w:val="en-US" w:eastAsia="zh-CN" w:bidi="ar-SA"/>
        </w:rPr>
        <w:t xml:space="preserve"> </w:t>
      </w:r>
      <w:r>
        <w:rPr>
          <w:rFonts w:hint="default" w:cs="Times New Roman"/>
          <w:szCs w:val="24"/>
          <w:lang w:val="en-US" w:eastAsia="zh-CN" w:bidi="ar-SA"/>
        </w:rPr>
        <w:t>doi</w:t>
      </w: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ascii="Times New Roman" w:hAnsi="Times New Roman" w:eastAsia="Times New Roman" w:cs="Times New Roman"/>
          <w:szCs w:val="24"/>
          <w:lang w:val="en-US" w:eastAsia="zh-CN" w:bidi="ar-SA"/>
        </w:rPr>
        <w:fldChar w:fldCharType="begin"/>
      </w:r>
      <w:r>
        <w:rPr>
          <w:rFonts w:hint="default" w:ascii="Times New Roman" w:hAnsi="Times New Roman" w:eastAsia="Times New Roman" w:cs="Times New Roman"/>
          <w:szCs w:val="24"/>
          <w:lang w:val="en-US" w:eastAsia="zh-CN" w:bidi="ar-SA"/>
        </w:rPr>
        <w:instrText xml:space="preserve"> HYPERLINK "https://doi.org/10.1155/2012/186752" </w:instrText>
      </w:r>
      <w:r>
        <w:rPr>
          <w:rFonts w:hint="default" w:ascii="Times New Roman" w:hAnsi="Times New Roman" w:eastAsia="Times New Roman" w:cs="Times New Roman"/>
          <w:szCs w:val="24"/>
          <w:lang w:val="en-US" w:eastAsia="zh-CN" w:bidi="ar-SA"/>
        </w:rPr>
        <w:fldChar w:fldCharType="separate"/>
      </w:r>
      <w:r>
        <w:rPr>
          <w:rStyle w:val="19"/>
          <w:rFonts w:hint="default" w:ascii="Times New Roman" w:hAnsi="Times New Roman" w:eastAsia="Times New Roman" w:cs="Times New Roman"/>
          <w:szCs w:val="24"/>
          <w:lang w:val="en-US" w:eastAsia="zh-CN" w:bidi="ar-SA"/>
        </w:rPr>
        <w:t>https://doi.org/10.1155/2012/186752</w:t>
      </w:r>
      <w:r>
        <w:rPr>
          <w:rFonts w:hint="default" w:ascii="Times New Roman" w:hAnsi="Times New Roman" w:eastAsia="Times New Roman" w:cs="Times New Roman"/>
          <w:szCs w:val="24"/>
          <w:lang w:val="en-US" w:eastAsia="zh-CN" w:bidi="ar-SA"/>
        </w:rPr>
        <w:fldChar w:fldCharType="end"/>
      </w:r>
    </w:p>
    <w:p w14:paraId="65892750">
      <w:pPr>
        <w:keepNext w:val="0"/>
        <w:keepLines w:val="0"/>
        <w:widowControl/>
        <w:suppressLineNumbers w:val="0"/>
        <w:ind w:left="700" w:hanging="700" w:hangingChars="350"/>
        <w:jc w:val="both"/>
        <w:rPr>
          <w:rStyle w:val="19"/>
          <w:rFonts w:hint="default" w:ascii="Times New Roman" w:hAnsi="Times New Roman" w:eastAsia="Times New Roman" w:cs="Times New Roman"/>
          <w:szCs w:val="24"/>
          <w:lang w:val="en-US" w:eastAsia="zh-CN" w:bidi="ar-SA"/>
        </w:rPr>
      </w:pPr>
      <w:r>
        <w:rPr>
          <w:rFonts w:hint="default" w:cs="Times New Roman"/>
          <w:szCs w:val="24"/>
          <w:lang w:val="en-US" w:eastAsia="zh-CN" w:bidi="ar-SA"/>
        </w:rPr>
        <w:t xml:space="preserve">[22]       </w:t>
      </w:r>
      <w:r>
        <w:rPr>
          <w:rStyle w:val="19"/>
          <w:rFonts w:hint="default" w:ascii="Times New Roman" w:hAnsi="Times New Roman" w:eastAsia="Times New Roman" w:cs="Times New Roman"/>
          <w:szCs w:val="24"/>
          <w:lang w:val="en-US" w:eastAsia="zh-CN" w:bidi="ar-SA"/>
        </w:rPr>
        <w:t xml:space="preserve">R. Wang, L. Yang, S. Li, D. Ye, L. Yang, Q. Liu, et al., “Quercetin inhibits breast cancer stem cells via downregulation of aldehyde dehydrogenase 1A1 (ALDH1A1), chemokine receptor type 4 (CXCR4), mucin 1 (MUC1), and epithelial cell adhesion molecule (EpCAM),” </w:t>
      </w:r>
      <w:r>
        <w:rPr>
          <w:rStyle w:val="19"/>
          <w:rFonts w:hint="default" w:ascii="Times New Roman" w:hAnsi="Times New Roman" w:eastAsia="Times New Roman" w:cs="Times New Roman"/>
          <w:i/>
          <w:iCs/>
          <w:szCs w:val="24"/>
          <w:lang w:val="en-US" w:eastAsia="zh-CN" w:bidi="ar-SA"/>
        </w:rPr>
        <w:t>Medical Science Monitor,</w:t>
      </w:r>
      <w:r>
        <w:rPr>
          <w:rStyle w:val="19"/>
          <w:rFonts w:hint="default" w:ascii="Times New Roman" w:hAnsi="Times New Roman" w:eastAsia="Times New Roman" w:cs="Times New Roman"/>
          <w:szCs w:val="24"/>
          <w:lang w:val="en-US" w:eastAsia="zh-CN" w:bidi="ar-SA"/>
        </w:rPr>
        <w:t xml:space="preserve"> vol. 24, pp. 421-420, 2018, doi: </w:t>
      </w:r>
      <w:r>
        <w:rPr>
          <w:rStyle w:val="19"/>
          <w:rFonts w:hint="default" w:ascii="Times New Roman" w:hAnsi="Times New Roman" w:eastAsia="Times New Roman" w:cs="Times New Roman"/>
          <w:szCs w:val="24"/>
          <w:lang w:val="en-US" w:eastAsia="zh-CN" w:bidi="ar-SA"/>
        </w:rPr>
        <w:fldChar w:fldCharType="begin"/>
      </w:r>
      <w:r>
        <w:rPr>
          <w:rStyle w:val="19"/>
          <w:rFonts w:hint="default" w:ascii="Times New Roman" w:hAnsi="Times New Roman" w:eastAsia="Times New Roman" w:cs="Times New Roman"/>
          <w:szCs w:val="24"/>
          <w:lang w:val="en-US" w:eastAsia="zh-CN" w:bidi="ar-SA"/>
        </w:rPr>
        <w:instrText xml:space="preserve"> HYPERLINK "https://doi.org/10.1155/2012/186752" </w:instrText>
      </w:r>
      <w:r>
        <w:rPr>
          <w:rStyle w:val="19"/>
          <w:rFonts w:hint="default" w:ascii="Times New Roman" w:hAnsi="Times New Roman" w:eastAsia="Times New Roman" w:cs="Times New Roman"/>
          <w:szCs w:val="24"/>
          <w:lang w:val="en-US" w:eastAsia="zh-CN" w:bidi="ar-SA"/>
        </w:rPr>
        <w:fldChar w:fldCharType="separate"/>
      </w:r>
      <w:r>
        <w:rPr>
          <w:rStyle w:val="19"/>
          <w:rFonts w:hint="default" w:ascii="Times New Roman" w:hAnsi="Times New Roman" w:eastAsia="Times New Roman" w:cs="Times New Roman"/>
          <w:szCs w:val="24"/>
          <w:lang w:val="en-US" w:eastAsia="zh-CN" w:bidi="ar-SA"/>
        </w:rPr>
        <w:t>https://doi.org/10.12659/MSM.908022</w:t>
      </w:r>
      <w:r>
        <w:rPr>
          <w:rStyle w:val="19"/>
          <w:rFonts w:hint="default" w:ascii="Times New Roman" w:hAnsi="Times New Roman" w:eastAsia="Times New Roman" w:cs="Times New Roman"/>
          <w:szCs w:val="24"/>
          <w:lang w:val="en-US" w:eastAsia="zh-CN" w:bidi="ar-SA"/>
        </w:rPr>
        <w:fldChar w:fldCharType="end"/>
      </w:r>
    </w:p>
    <w:p w14:paraId="159E4A5A">
      <w:pPr>
        <w:keepNext w:val="0"/>
        <w:keepLines w:val="0"/>
        <w:widowControl/>
        <w:suppressLineNumbers w:val="0"/>
        <w:ind w:left="700" w:hanging="700" w:hangingChars="350"/>
        <w:jc w:val="both"/>
        <w:rPr>
          <w:rFonts w:hint="default" w:cs="Times New Roman"/>
          <w:szCs w:val="24"/>
          <w:lang w:val="en-US" w:eastAsia="zh-CN" w:bidi="ar-SA"/>
        </w:rPr>
      </w:pPr>
      <w:r>
        <w:rPr>
          <w:rStyle w:val="19"/>
          <w:rFonts w:hint="default" w:ascii="Times New Roman" w:hAnsi="Times New Roman" w:eastAsia="Times New Roman" w:cs="Times New Roman"/>
          <w:szCs w:val="24"/>
          <w:lang w:val="en-US" w:eastAsia="zh-CN" w:bidi="ar-SA"/>
        </w:rPr>
        <w:t>[23]</w:t>
      </w:r>
      <w:r>
        <w:rPr>
          <w:rStyle w:val="19"/>
          <w:rFonts w:hint="default" w:cs="Times New Roman"/>
          <w:szCs w:val="24"/>
          <w:lang w:val="en-US" w:eastAsia="zh-CN" w:bidi="ar-SA"/>
        </w:rPr>
        <w:t xml:space="preserve">  </w:t>
      </w:r>
      <w:r>
        <w:rPr>
          <w:rStyle w:val="19"/>
          <w:rFonts w:hint="default" w:ascii="Times New Roman" w:hAnsi="Times New Roman" w:eastAsia="Times New Roman" w:cs="Times New Roman"/>
          <w:szCs w:val="24"/>
          <w:lang w:val="en-US" w:eastAsia="zh-CN" w:bidi="ar-SA"/>
        </w:rPr>
        <w:t xml:space="preserve"> R. D. P. Rodrigues, I. R. P. Tini, C. P. Soares, and N. S. da Silva, “Effect of photodynamic therapy supplemented with quercetin in Hep-2 cells,” </w:t>
      </w:r>
      <w:r>
        <w:rPr>
          <w:rStyle w:val="19"/>
          <w:rFonts w:hint="default" w:ascii="Times New Roman" w:hAnsi="Times New Roman" w:eastAsia="Times New Roman" w:cs="Times New Roman"/>
          <w:i/>
          <w:iCs/>
          <w:szCs w:val="24"/>
          <w:lang w:val="en-US" w:eastAsia="zh-CN" w:bidi="ar-SA"/>
        </w:rPr>
        <w:t>Cell Biology International,</w:t>
      </w:r>
      <w:r>
        <w:rPr>
          <w:rStyle w:val="19"/>
          <w:rFonts w:hint="default" w:ascii="Times New Roman" w:hAnsi="Times New Roman" w:eastAsia="Times New Roman" w:cs="Times New Roman"/>
          <w:szCs w:val="24"/>
          <w:lang w:val="en-US" w:eastAsia="zh-CN" w:bidi="ar-SA"/>
        </w:rPr>
        <w:t xml:space="preserve"> vol. 38, no. 6, pp. 716-722, 2014, do</w:t>
      </w:r>
      <w:r>
        <w:rPr>
          <w:rFonts w:hint="default" w:cs="Times New Roman"/>
          <w:szCs w:val="24"/>
          <w:lang w:val="en-US" w:eastAsia="zh-CN" w:bidi="ar-SA"/>
        </w:rPr>
        <w:t xml:space="preserve">i: </w:t>
      </w:r>
      <w:r>
        <w:rPr>
          <w:rFonts w:hint="default" w:cs="Times New Roman"/>
          <w:szCs w:val="24"/>
          <w:lang w:val="en-US" w:eastAsia="zh-CN" w:bidi="ar-SA"/>
        </w:rPr>
        <w:fldChar w:fldCharType="begin"/>
      </w:r>
      <w:r>
        <w:rPr>
          <w:rFonts w:hint="default" w:cs="Times New Roman"/>
          <w:szCs w:val="24"/>
          <w:lang w:val="en-US" w:eastAsia="zh-CN" w:bidi="ar-SA"/>
        </w:rPr>
        <w:instrText xml:space="preserve"> HYPERLINK "https://doi.org/10.1155/2012/186752" </w:instrText>
      </w:r>
      <w:r>
        <w:rPr>
          <w:rFonts w:hint="default" w:cs="Times New Roman"/>
          <w:szCs w:val="24"/>
          <w:lang w:val="en-US" w:eastAsia="zh-CN" w:bidi="ar-SA"/>
        </w:rPr>
        <w:fldChar w:fldCharType="separate"/>
      </w:r>
      <w:r>
        <w:rPr>
          <w:rFonts w:hint="default" w:cs="Times New Roman"/>
          <w:szCs w:val="24"/>
          <w:lang w:val="en-US" w:eastAsia="zh-CN" w:bidi="ar-SA"/>
        </w:rPr>
        <w:t>https://doi.org/10.1002/cbin.10251</w:t>
      </w:r>
      <w:r>
        <w:rPr>
          <w:rFonts w:hint="default" w:cs="Times New Roman"/>
          <w:szCs w:val="24"/>
          <w:lang w:val="en-US" w:eastAsia="zh-CN" w:bidi="ar-SA"/>
        </w:rPr>
        <w:fldChar w:fldCharType="end"/>
      </w:r>
      <w:r>
        <w:rPr>
          <w:rFonts w:hint="default" w:cs="Times New Roman"/>
          <w:szCs w:val="24"/>
          <w:lang w:val="en-US" w:eastAsia="zh-CN" w:bidi="ar-SA"/>
        </w:rPr>
        <w:t xml:space="preserve"> </w:t>
      </w:r>
    </w:p>
    <w:p w14:paraId="316EF187">
      <w:pPr>
        <w:keepNext w:val="0"/>
        <w:keepLines w:val="0"/>
        <w:widowControl/>
        <w:suppressLineNumbers w:val="0"/>
        <w:ind w:left="700" w:hanging="700" w:hangingChars="350"/>
        <w:jc w:val="both"/>
        <w:rPr>
          <w:rFonts w:hint="default" w:cs="Times New Roman"/>
          <w:szCs w:val="24"/>
          <w:lang w:val="en-US" w:eastAsia="zh-CN" w:bidi="ar-SA"/>
        </w:rPr>
      </w:pPr>
      <w:r>
        <w:rPr>
          <w:rFonts w:hint="default" w:cs="Times New Roman"/>
          <w:szCs w:val="24"/>
          <w:lang w:val="en-US" w:eastAsia="zh-CN" w:bidi="ar-SA"/>
        </w:rPr>
        <w:t>[24]    J. Zhu, P. Langer, C. Ulrich, and J. Eberle</w:t>
      </w:r>
      <w:r>
        <w:rPr>
          <w:rStyle w:val="19"/>
          <w:rFonts w:hint="default" w:ascii="Times New Roman" w:hAnsi="Times New Roman" w:eastAsia="Times New Roman" w:cs="Times New Roman"/>
          <w:szCs w:val="24"/>
          <w:lang w:val="en-US" w:eastAsia="zh-CN" w:bidi="ar-SA"/>
        </w:rPr>
        <w:t>, “</w:t>
      </w:r>
      <w:r>
        <w:rPr>
          <w:rFonts w:hint="default" w:cs="Times New Roman"/>
          <w:szCs w:val="24"/>
          <w:lang w:val="en-US" w:eastAsia="zh-CN" w:bidi="ar-SA"/>
        </w:rPr>
        <w:t>Crucial Role of Reactive Oxygen Species (ROS) for the Proapoptotic Effects of Indirubin Derivatives in Cutaneous SCC Cells</w:t>
      </w:r>
      <w:r>
        <w:rPr>
          <w:rStyle w:val="19"/>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cs="Times New Roman"/>
          <w:i/>
          <w:iCs/>
          <w:szCs w:val="24"/>
          <w:lang w:val="en-US" w:eastAsia="zh-CN" w:bidi="ar-SA"/>
        </w:rPr>
        <w:t>Antioxidants,</w:t>
      </w:r>
      <w:r>
        <w:rPr>
          <w:rFonts w:hint="default" w:cs="Times New Roman"/>
          <w:szCs w:val="24"/>
          <w:lang w:val="en-US" w:eastAsia="zh-CN" w:bidi="ar-SA"/>
        </w:rPr>
        <w:t xml:space="preserve"> vol. 10, no. 1514, 2021, </w:t>
      </w:r>
      <w:r>
        <w:rPr>
          <w:rStyle w:val="19"/>
          <w:rFonts w:hint="default" w:ascii="Times New Roman" w:hAnsi="Times New Roman" w:eastAsia="Times New Roman" w:cs="Times New Roman"/>
          <w:szCs w:val="24"/>
          <w:lang w:val="en-US" w:eastAsia="zh-CN" w:bidi="ar-SA"/>
        </w:rPr>
        <w:t>do</w:t>
      </w:r>
      <w:r>
        <w:rPr>
          <w:rFonts w:hint="default" w:cs="Times New Roman"/>
          <w:szCs w:val="24"/>
          <w:lang w:val="en-US" w:eastAsia="zh-CN" w:bidi="ar-SA"/>
        </w:rPr>
        <w:t>i: https://doi.org/10.3390/antiox10101514</w:t>
      </w:r>
    </w:p>
    <w:p w14:paraId="0834A58F">
      <w:pPr>
        <w:keepNext w:val="0"/>
        <w:keepLines w:val="0"/>
        <w:widowControl/>
        <w:suppressLineNumbers w:val="0"/>
        <w:ind w:left="700" w:hanging="700" w:hangingChars="350"/>
        <w:jc w:val="both"/>
        <w:rPr>
          <w:rFonts w:hint="default" w:cs="Times New Roman"/>
          <w:szCs w:val="24"/>
          <w:lang w:val="en-US" w:eastAsia="zh-CN" w:bidi="ar-SA"/>
        </w:rPr>
      </w:pPr>
      <w:r>
        <w:rPr>
          <w:rFonts w:hint="default" w:cs="Times New Roman"/>
          <w:szCs w:val="24"/>
          <w:lang w:val="en-US" w:eastAsia="zh-CN" w:bidi="ar-SA"/>
        </w:rPr>
        <w:t>[25]</w:t>
      </w:r>
      <w:r>
        <w:rPr>
          <w:rFonts w:hint="default" w:cs="Times New Roman"/>
          <w:szCs w:val="24"/>
          <w:lang w:val="en-US" w:eastAsia="zh-CN" w:bidi="ar-SA"/>
        </w:rPr>
        <w:tab/>
      </w:r>
      <w:r>
        <w:rPr>
          <w:rFonts w:hint="default" w:cs="Times New Roman"/>
          <w:szCs w:val="24"/>
          <w:lang w:val="en-US" w:eastAsia="zh-CN" w:bidi="ar-SA"/>
        </w:rPr>
        <w:t>S. Al-Salam, K. Kandhan, and M. Sudhadevi</w:t>
      </w:r>
      <w:r>
        <w:rPr>
          <w:rStyle w:val="19"/>
          <w:rFonts w:hint="default" w:ascii="Times New Roman" w:hAnsi="Times New Roman" w:eastAsia="Times New Roman" w:cs="Times New Roman"/>
          <w:szCs w:val="24"/>
          <w:lang w:val="en-US" w:eastAsia="zh-CN" w:bidi="ar-SA"/>
        </w:rPr>
        <w:t>, “</w:t>
      </w:r>
      <w:r>
        <w:rPr>
          <w:rFonts w:hint="default" w:cs="Times New Roman"/>
          <w:szCs w:val="24"/>
          <w:lang w:val="en-US" w:eastAsia="zh-CN" w:bidi="ar-SA"/>
        </w:rPr>
        <w:t>Down regulation of lactate dehydrogenase initiates apoptosis in HeLa and MCF-7 cancer cells through increased voltage-dependent anion channel protein and inhibition of BCL2</w:t>
      </w:r>
      <w:r>
        <w:rPr>
          <w:rStyle w:val="19"/>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cs="Times New Roman"/>
          <w:i/>
          <w:iCs/>
          <w:szCs w:val="24"/>
          <w:lang w:val="en-US" w:eastAsia="zh-CN" w:bidi="ar-SA"/>
        </w:rPr>
        <w:t>Oncotarget,</w:t>
      </w:r>
      <w:r>
        <w:rPr>
          <w:rFonts w:hint="default" w:cs="Times New Roman"/>
          <w:szCs w:val="24"/>
          <w:lang w:val="en-US" w:eastAsia="zh-CN" w:bidi="ar-SA"/>
        </w:rPr>
        <w:t xml:space="preserve"> vol. 12, pp. 923–935, 2021, </w:t>
      </w:r>
      <w:r>
        <w:rPr>
          <w:rStyle w:val="19"/>
          <w:rFonts w:hint="default" w:ascii="Times New Roman" w:hAnsi="Times New Roman" w:eastAsia="Times New Roman" w:cs="Times New Roman"/>
          <w:szCs w:val="24"/>
          <w:lang w:val="en-US" w:eastAsia="zh-CN" w:bidi="ar-SA"/>
        </w:rPr>
        <w:t>do</w:t>
      </w:r>
      <w:r>
        <w:rPr>
          <w:rFonts w:hint="default" w:cs="Times New Roman"/>
          <w:szCs w:val="24"/>
          <w:lang w:val="en-US" w:eastAsia="zh-CN" w:bidi="ar-SA"/>
        </w:rPr>
        <w:t>i: https://doi.org/10.18632/oncotarget.27950</w:t>
      </w:r>
    </w:p>
    <w:p w14:paraId="25797DCF">
      <w:pPr>
        <w:keepNext w:val="0"/>
        <w:keepLines w:val="0"/>
        <w:widowControl/>
        <w:suppressLineNumbers w:val="0"/>
        <w:ind w:left="700" w:hanging="700" w:hangingChars="350"/>
        <w:jc w:val="both"/>
        <w:rPr>
          <w:rFonts w:hint="default" w:cs="Times New Roman"/>
          <w:szCs w:val="24"/>
          <w:lang w:val="en-US" w:eastAsia="zh-CN" w:bidi="ar-SA"/>
        </w:rPr>
      </w:pPr>
      <w:r>
        <w:rPr>
          <w:rFonts w:hint="default" w:cs="Times New Roman"/>
          <w:szCs w:val="24"/>
          <w:lang w:val="en-US" w:eastAsia="zh-CN" w:bidi="ar-SA"/>
        </w:rPr>
        <w:t>[26]</w:t>
      </w:r>
      <w:r>
        <w:rPr>
          <w:rFonts w:hint="default" w:cs="Times New Roman"/>
          <w:szCs w:val="24"/>
          <w:lang w:val="en-US" w:eastAsia="zh-CN" w:bidi="ar-SA"/>
        </w:rPr>
        <w:tab/>
      </w:r>
      <w:r>
        <w:rPr>
          <w:rFonts w:hint="default" w:cs="Times New Roman"/>
          <w:szCs w:val="24"/>
          <w:lang w:val="en-US" w:eastAsia="zh-CN" w:bidi="ar-SA"/>
        </w:rPr>
        <w:t>T. K. Horne and M. J. Cronjé</w:t>
      </w:r>
      <w:r>
        <w:rPr>
          <w:rStyle w:val="19"/>
          <w:rFonts w:hint="default" w:ascii="Times New Roman" w:hAnsi="Times New Roman" w:eastAsia="Times New Roman" w:cs="Times New Roman"/>
          <w:szCs w:val="24"/>
          <w:lang w:val="en-US" w:eastAsia="zh-CN" w:bidi="ar-SA"/>
        </w:rPr>
        <w:t>, “</w:t>
      </w:r>
      <w:r>
        <w:rPr>
          <w:rFonts w:hint="default" w:cs="Times New Roman"/>
          <w:szCs w:val="24"/>
          <w:lang w:val="en-US" w:eastAsia="zh-CN" w:bidi="ar-SA"/>
        </w:rPr>
        <w:t>Novel carbohydrate-substituted metallo -porphyrazine comparison for cancer tissue-type specificity during PDT</w:t>
      </w:r>
      <w:r>
        <w:rPr>
          <w:rStyle w:val="19"/>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cs="Times New Roman"/>
          <w:i/>
          <w:iCs/>
          <w:szCs w:val="24"/>
          <w:lang w:val="en-US" w:eastAsia="zh-CN" w:bidi="ar-SA"/>
        </w:rPr>
        <w:t>Journal of Photochemistry and Photobiology B: Biology,</w:t>
      </w:r>
      <w:r>
        <w:rPr>
          <w:rFonts w:hint="default" w:cs="Times New Roman"/>
          <w:szCs w:val="24"/>
          <w:lang w:val="en-US" w:eastAsia="zh-CN" w:bidi="ar-SA"/>
        </w:rPr>
        <w:t xml:space="preserve"> no. 173, pp. 412-422, 2017, doi: </w:t>
      </w:r>
      <w:r>
        <w:rPr>
          <w:rFonts w:hint="default" w:cs="Times New Roman"/>
          <w:szCs w:val="24"/>
          <w:lang w:val="en-US" w:eastAsia="zh-CN" w:bidi="ar-SA"/>
        </w:rPr>
        <w:fldChar w:fldCharType="begin"/>
      </w:r>
      <w:r>
        <w:rPr>
          <w:rFonts w:hint="default" w:cs="Times New Roman"/>
          <w:szCs w:val="24"/>
          <w:lang w:val="en-US" w:eastAsia="zh-CN" w:bidi="ar-SA"/>
        </w:rPr>
        <w:instrText xml:space="preserve"> HYPERLINK "https://doi.org/10.1016/j.jphotobiol.2017.06.013" </w:instrText>
      </w:r>
      <w:r>
        <w:rPr>
          <w:rFonts w:hint="default" w:cs="Times New Roman"/>
          <w:szCs w:val="24"/>
          <w:lang w:val="en-US" w:eastAsia="zh-CN" w:bidi="ar-SA"/>
        </w:rPr>
        <w:fldChar w:fldCharType="separate"/>
      </w:r>
      <w:r>
        <w:rPr>
          <w:rFonts w:hint="default" w:cs="Times New Roman"/>
          <w:szCs w:val="24"/>
          <w:lang w:val="en-US" w:eastAsia="zh-CN" w:bidi="ar-SA"/>
        </w:rPr>
        <w:t>https://doi.org/10.1016/j.jphotobiol.2017.06.013</w:t>
      </w:r>
      <w:r>
        <w:rPr>
          <w:rFonts w:hint="default" w:cs="Times New Roman"/>
          <w:szCs w:val="24"/>
          <w:lang w:val="en-US" w:eastAsia="zh-CN" w:bidi="ar-SA"/>
        </w:rPr>
        <w:fldChar w:fldCharType="end"/>
      </w:r>
    </w:p>
    <w:p w14:paraId="120656AD">
      <w:pPr>
        <w:keepNext w:val="0"/>
        <w:keepLines w:val="0"/>
        <w:widowControl/>
        <w:suppressLineNumbers w:val="0"/>
        <w:ind w:left="700" w:hanging="700" w:hangingChars="350"/>
        <w:jc w:val="both"/>
        <w:rPr>
          <w:rFonts w:hint="default" w:cs="Times New Roman"/>
          <w:szCs w:val="24"/>
          <w:lang w:val="en-US" w:eastAsia="zh-CN" w:bidi="ar-SA"/>
        </w:rPr>
      </w:pPr>
      <w:r>
        <w:rPr>
          <w:rFonts w:hint="default" w:cs="Times New Roman"/>
          <w:szCs w:val="24"/>
          <w:lang w:val="en-US" w:eastAsia="zh-CN" w:bidi="ar-SA"/>
        </w:rPr>
        <w:t>[27</w:t>
      </w:r>
      <w:r>
        <w:rPr>
          <w:rFonts w:hint="default" w:ascii="Times New Roman" w:hAnsi="Times New Roman" w:eastAsia="Times New Roman" w:cs="Times New Roman"/>
          <w:szCs w:val="24"/>
          <w:lang w:val="en-US" w:eastAsia="zh-CN" w:bidi="ar-SA"/>
        </w:rPr>
        <w:t>]     R. A. Rafiq, A. Quadri, L. A. Nazir, K. Peerzada, B. A. Ganai, and S. A. Tasduq</w:t>
      </w:r>
      <w:r>
        <w:rPr>
          <w:rStyle w:val="19"/>
          <w:rFonts w:hint="default" w:ascii="Times New Roman" w:hAnsi="Times New Roman" w:eastAsia="Times New Roman" w:cs="Times New Roman"/>
          <w:szCs w:val="24"/>
          <w:lang w:val="en-US" w:eastAsia="zh-CN" w:bidi="ar-SA"/>
        </w:rPr>
        <w:t>, “</w:t>
      </w:r>
      <w:r>
        <w:rPr>
          <w:rFonts w:hint="default" w:ascii="Times New Roman" w:hAnsi="Times New Roman" w:eastAsia="Times New Roman" w:cs="Times New Roman"/>
          <w:szCs w:val="24"/>
          <w:lang w:val="en-US" w:eastAsia="zh-CN" w:bidi="ar-SA"/>
        </w:rPr>
        <w:t>A potent inhibitor of phosphoinositide 3-kinase (PI3K) and mitogen ac</w:t>
      </w:r>
      <w:r>
        <w:rPr>
          <w:rFonts w:hint="default" w:ascii="Times New Roman" w:hAnsi="Times New Roman" w:eastAsia="Times New Roman" w:cs="Times New Roman"/>
          <w:szCs w:val="24"/>
          <w:highlight w:val="none"/>
          <w:lang w:val="en-US" w:eastAsia="zh-CN" w:bidi="ar-SA"/>
        </w:rPr>
        <w:t>tivated protein (MAP) kinase signalling, quercetin (3, 3’, 4’, 5, 7-Pentahydroxyflavone) promotes cell death in ultraviolet (UV)-B-Irradiated B16F10 melanoma cells</w:t>
      </w:r>
      <w:r>
        <w:rPr>
          <w:rStyle w:val="19"/>
          <w:rFonts w:hint="default" w:ascii="Times New Roman" w:hAnsi="Times New Roman" w:eastAsia="Times New Roman" w:cs="Times New Roman"/>
          <w:szCs w:val="24"/>
          <w:highlight w:val="none"/>
          <w:lang w:val="en-US" w:eastAsia="zh-CN" w:bidi="ar-SA"/>
        </w:rPr>
        <w:t xml:space="preserve">,” </w:t>
      </w:r>
      <w:r>
        <w:rPr>
          <w:rFonts w:hint="default" w:ascii="Times New Roman" w:hAnsi="Times New Roman" w:eastAsia="Times New Roman" w:cs="Times New Roman"/>
          <w:i/>
          <w:iCs/>
          <w:szCs w:val="24"/>
          <w:highlight w:val="none"/>
          <w:lang w:val="en-US" w:eastAsia="zh-CN" w:bidi="ar-SA"/>
        </w:rPr>
        <w:t>PLoS ONE,</w:t>
      </w:r>
      <w:r>
        <w:rPr>
          <w:rFonts w:hint="default" w:ascii="Times New Roman" w:hAnsi="Times New Roman" w:eastAsia="Times New Roman" w:cs="Times New Roman"/>
          <w:szCs w:val="24"/>
          <w:highlight w:val="none"/>
          <w:lang w:val="en-US" w:eastAsia="zh-CN" w:bidi="ar-SA"/>
        </w:rPr>
        <w:t xml:space="preserve"> </w:t>
      </w:r>
      <w:r>
        <w:rPr>
          <w:rStyle w:val="19"/>
          <w:rFonts w:hint="default" w:ascii="Times New Roman" w:hAnsi="Times New Roman" w:eastAsia="Times New Roman" w:cs="Times New Roman"/>
          <w:szCs w:val="24"/>
          <w:highlight w:val="none"/>
          <w:lang w:val="en-US" w:eastAsia="zh-CN" w:bidi="ar-SA"/>
        </w:rPr>
        <w:t xml:space="preserve">vol. 10, no. E0131253, </w:t>
      </w:r>
      <w:r>
        <w:rPr>
          <w:rFonts w:hint="default" w:ascii="Times New Roman" w:hAnsi="Times New Roman" w:eastAsia="Times New Roman" w:cs="Times New Roman"/>
          <w:szCs w:val="24"/>
          <w:highlight w:val="none"/>
          <w:lang w:val="en-US" w:eastAsia="zh-CN" w:bidi="ar-SA"/>
        </w:rPr>
        <w:t xml:space="preserve"> 2015,  </w:t>
      </w:r>
      <w:r>
        <w:rPr>
          <w:rFonts w:hint="default" w:cs="Times New Roman"/>
          <w:szCs w:val="24"/>
          <w:highlight w:val="none"/>
          <w:lang w:val="en-US" w:eastAsia="zh-CN" w:bidi="ar-SA"/>
        </w:rPr>
        <w:t>doi</w:t>
      </w:r>
      <w:r>
        <w:rPr>
          <w:rFonts w:hint="default" w:ascii="Times New Roman" w:hAnsi="Times New Roman" w:eastAsia="Times New Roman" w:cs="Times New Roman"/>
          <w:szCs w:val="24"/>
          <w:highlight w:val="none"/>
          <w:lang w:val="en-US" w:eastAsia="zh-CN" w:bidi="ar-SA"/>
        </w:rPr>
        <w:t xml:space="preserve">: </w:t>
      </w:r>
      <w:r>
        <w:rPr>
          <w:rFonts w:hint="default" w:ascii="Times New Roman" w:hAnsi="Times New Roman" w:eastAsia="Times New Roman"/>
          <w:szCs w:val="24"/>
          <w:highlight w:val="none"/>
          <w:lang w:val="en-US" w:eastAsia="zh-CN"/>
        </w:rPr>
        <w:t>https://doi.org/10.1371/journal.pone.0131253</w:t>
      </w:r>
    </w:p>
    <w:p w14:paraId="0AFA0BD3">
      <w:pPr>
        <w:keepNext w:val="0"/>
        <w:keepLines w:val="0"/>
        <w:widowControl/>
        <w:suppressLineNumbers w:val="0"/>
        <w:ind w:left="700" w:hanging="700" w:hangingChars="350"/>
        <w:jc w:val="both"/>
        <w:rPr>
          <w:rFonts w:hint="default" w:cs="Times New Roman"/>
          <w:szCs w:val="24"/>
          <w:lang w:val="en-US" w:eastAsia="zh-CN" w:bidi="ar-SA"/>
        </w:rPr>
      </w:pPr>
      <w:r>
        <w:rPr>
          <w:rFonts w:hint="default" w:cs="Times New Roman"/>
          <w:szCs w:val="24"/>
          <w:lang w:val="en-US" w:eastAsia="zh-CN" w:bidi="ar-SA"/>
        </w:rPr>
        <w:t>[28]    T. Niu, Y. Tian, G. Wang, G. Guo, Y. Tong, and Y. Shi, “Inhibition of ROS-NF-κB-dependent autophagy enhances Hypocrellin A united LED red light-induced apoptosis in squamous carcinoma A431 cells</w:t>
      </w:r>
      <w:r>
        <w:rPr>
          <w:rStyle w:val="19"/>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cs="Times New Roman"/>
          <w:i/>
          <w:iCs/>
          <w:szCs w:val="24"/>
          <w:lang w:val="en-US" w:eastAsia="zh-CN" w:bidi="ar-SA"/>
        </w:rPr>
        <w:t>Cell Signaling,</w:t>
      </w:r>
      <w:r>
        <w:rPr>
          <w:rFonts w:hint="default" w:cs="Times New Roman"/>
          <w:szCs w:val="24"/>
          <w:lang w:val="en-US" w:eastAsia="zh-CN" w:bidi="ar-SA"/>
        </w:rPr>
        <w:t xml:space="preserve"> vol. 69, no. 109550, 2020, </w:t>
      </w:r>
      <w:r>
        <w:rPr>
          <w:rStyle w:val="19"/>
          <w:rFonts w:hint="default" w:ascii="Times New Roman" w:hAnsi="Times New Roman" w:eastAsia="Times New Roman" w:cs="Times New Roman"/>
          <w:szCs w:val="24"/>
          <w:lang w:val="en-US" w:eastAsia="zh-CN" w:bidi="ar-SA"/>
        </w:rPr>
        <w:t>do</w:t>
      </w:r>
      <w:r>
        <w:rPr>
          <w:rFonts w:hint="default" w:cs="Times New Roman"/>
          <w:szCs w:val="24"/>
          <w:lang w:val="en-US" w:eastAsia="zh-CN" w:bidi="ar-SA"/>
        </w:rPr>
        <w:t>i: https://doi.org/10.1016/j.cellsig.2020.109550</w:t>
      </w:r>
    </w:p>
    <w:p w14:paraId="7919FFAC">
      <w:pPr>
        <w:keepNext w:val="0"/>
        <w:keepLines w:val="0"/>
        <w:widowControl/>
        <w:suppressLineNumbers w:val="0"/>
        <w:ind w:left="700" w:hanging="700" w:hangingChars="350"/>
        <w:jc w:val="left"/>
        <w:rPr>
          <w:rFonts w:hint="default" w:ascii="Times New Roman" w:hAnsi="Times New Roman" w:eastAsia="Times New Roman" w:cs="Times New Roman"/>
          <w:szCs w:val="24"/>
          <w:lang w:val="en-US" w:eastAsia="zh-CN" w:bidi="ar-SA"/>
        </w:rPr>
      </w:pPr>
      <w:r>
        <w:rPr>
          <w:rFonts w:hint="default" w:cs="Times New Roman"/>
          <w:szCs w:val="24"/>
          <w:lang w:val="en-US" w:eastAsia="zh-CN" w:bidi="ar-SA"/>
        </w:rPr>
        <w:t xml:space="preserve">[29]      Y. </w:t>
      </w:r>
      <w:r>
        <w:rPr>
          <w:rFonts w:hint="default" w:ascii="Times New Roman" w:hAnsi="Times New Roman" w:eastAsia="Times New Roman" w:cs="Times New Roman"/>
          <w:szCs w:val="24"/>
          <w:lang w:val="en-US" w:eastAsia="zh-CN" w:bidi="ar-SA"/>
        </w:rPr>
        <w:t>Bi, C. Shen, C. Li,</w:t>
      </w:r>
      <w:r>
        <w:rPr>
          <w:rFonts w:hint="default" w:ascii="Times New Roman" w:hAnsi="Times New Roman" w:eastAsia="Times New Roman" w:cs="Times New Roman"/>
          <w:szCs w:val="24"/>
          <w:highlight w:val="none"/>
          <w:lang w:val="en-US" w:eastAsia="zh-CN" w:bidi="ar-SA"/>
        </w:rPr>
        <w:t xml:space="preserve"> Y. Liu, D. Gao, C. Shi, et al.</w:t>
      </w:r>
      <w:r>
        <w:rPr>
          <w:rFonts w:hint="default" w:cs="Times New Roman"/>
          <w:szCs w:val="24"/>
          <w:highlight w:val="none"/>
          <w:lang w:val="en-US" w:eastAsia="zh-CN" w:bidi="ar-SA"/>
        </w:rPr>
        <w:t>, “</w:t>
      </w:r>
      <w:r>
        <w:rPr>
          <w:rFonts w:hint="default" w:ascii="Times New Roman" w:hAnsi="Times New Roman" w:eastAsia="Times New Roman" w:cs="Times New Roman"/>
          <w:szCs w:val="24"/>
          <w:highlight w:val="none"/>
          <w:lang w:val="en-US" w:eastAsia="zh-CN" w:bidi="ar-SA"/>
        </w:rPr>
        <w:t>Inhibition of autophagy induced by quercetin at a late stage enhances cytotoxic effects on glioma cells</w:t>
      </w:r>
      <w:r>
        <w:rPr>
          <w:rStyle w:val="19"/>
          <w:rFonts w:hint="default" w:ascii="Times New Roman" w:hAnsi="Times New Roman" w:eastAsia="Times New Roman" w:cs="Times New Roman"/>
          <w:szCs w:val="24"/>
          <w:highlight w:val="none"/>
          <w:lang w:val="en-US" w:eastAsia="zh-CN" w:bidi="ar-SA"/>
        </w:rPr>
        <w:t>,”</w:t>
      </w:r>
      <w:r>
        <w:rPr>
          <w:rFonts w:hint="default" w:ascii="Times New Roman" w:hAnsi="Times New Roman" w:eastAsia="Times New Roman" w:cs="Times New Roman"/>
          <w:szCs w:val="24"/>
          <w:highlight w:val="none"/>
          <w:lang w:val="en-US" w:eastAsia="zh-CN" w:bidi="ar-SA"/>
        </w:rPr>
        <w:t xml:space="preserve"> </w:t>
      </w:r>
      <w:r>
        <w:rPr>
          <w:rFonts w:hint="default" w:ascii="Times New Roman" w:hAnsi="Times New Roman" w:eastAsia="Times New Roman" w:cs="Times New Roman"/>
          <w:i/>
          <w:iCs/>
          <w:szCs w:val="24"/>
          <w:highlight w:val="none"/>
          <w:lang w:val="en-US" w:eastAsia="zh-CN" w:bidi="ar-SA"/>
        </w:rPr>
        <w:t>Tumour Biology,</w:t>
      </w:r>
      <w:r>
        <w:rPr>
          <w:rFonts w:hint="default" w:ascii="Times New Roman" w:hAnsi="Times New Roman" w:eastAsia="Times New Roman" w:cs="Times New Roman"/>
          <w:szCs w:val="24"/>
          <w:highlight w:val="none"/>
          <w:lang w:val="en-US" w:eastAsia="zh-CN" w:bidi="ar-SA"/>
        </w:rPr>
        <w:t xml:space="preserve"> no. 37, pp. 3549–3560, 2016, </w:t>
      </w:r>
      <w:r>
        <w:rPr>
          <w:rFonts w:hint="default" w:cs="Times New Roman"/>
          <w:szCs w:val="24"/>
          <w:highlight w:val="none"/>
          <w:lang w:val="en-US" w:eastAsia="zh-CN" w:bidi="ar-SA"/>
        </w:rPr>
        <w:t>doi</w:t>
      </w:r>
      <w:r>
        <w:rPr>
          <w:rFonts w:hint="default" w:ascii="Times New Roman" w:hAnsi="Times New Roman" w:eastAsia="Times New Roman" w:cs="Times New Roman"/>
          <w:szCs w:val="24"/>
          <w:highlight w:val="none"/>
          <w:lang w:val="en-US" w:eastAsia="zh-CN" w:bidi="ar-SA"/>
        </w:rPr>
        <w:t xml:space="preserve">: </w:t>
      </w:r>
      <w:r>
        <w:rPr>
          <w:rFonts w:hint="default" w:ascii="Times New Roman" w:hAnsi="Times New Roman" w:eastAsia="Times New Roman"/>
          <w:szCs w:val="24"/>
          <w:highlight w:val="none"/>
          <w:lang w:val="en-US" w:eastAsia="zh-CN"/>
        </w:rPr>
        <w:t>https://doi.org/10.1007/s13277-015-4125-4</w:t>
      </w:r>
    </w:p>
    <w:p w14:paraId="1C3BEE53">
      <w:pPr>
        <w:keepNext w:val="0"/>
        <w:keepLines w:val="0"/>
        <w:widowControl/>
        <w:suppressLineNumbers w:val="0"/>
        <w:ind w:left="700" w:hanging="700" w:hangingChars="350"/>
        <w:jc w:val="both"/>
        <w:rPr>
          <w:rFonts w:hint="default" w:ascii="Times New Roman" w:hAnsi="Times New Roman" w:eastAsia="Times New Roman" w:cs="Times New Roman"/>
          <w:szCs w:val="24"/>
          <w:lang w:val="en-US" w:eastAsia="zh-CN" w:bidi="ar-SA"/>
        </w:rPr>
      </w:pPr>
      <w:r>
        <w:rPr>
          <w:rFonts w:hint="default" w:cs="Times New Roman"/>
          <w:szCs w:val="24"/>
          <w:lang w:val="en-US" w:eastAsia="zh-CN" w:bidi="ar-SA"/>
        </w:rPr>
        <w:t xml:space="preserve">[30]    J. P. J. </w:t>
      </w:r>
      <w:r>
        <w:rPr>
          <w:rFonts w:hint="default" w:ascii="Times New Roman" w:hAnsi="Times New Roman" w:eastAsia="Times New Roman" w:cs="Times New Roman"/>
          <w:szCs w:val="24"/>
          <w:lang w:val="en-US" w:eastAsia="zh-CN" w:bidi="ar-SA"/>
        </w:rPr>
        <w:t xml:space="preserve">Merlin, </w:t>
      </w:r>
      <w:r>
        <w:rPr>
          <w:rFonts w:hint="default" w:cs="Times New Roman"/>
          <w:szCs w:val="24"/>
          <w:lang w:val="en-US" w:eastAsia="zh-CN" w:bidi="ar-SA"/>
        </w:rPr>
        <w:t xml:space="preserve">G. </w:t>
      </w:r>
      <w:r>
        <w:rPr>
          <w:rFonts w:hint="default" w:ascii="Times New Roman" w:hAnsi="Times New Roman" w:eastAsia="Times New Roman" w:cs="Times New Roman"/>
          <w:szCs w:val="24"/>
          <w:lang w:val="en-US" w:eastAsia="zh-CN" w:bidi="ar-SA"/>
        </w:rPr>
        <w:t xml:space="preserve">Dellaire, </w:t>
      </w:r>
      <w:r>
        <w:rPr>
          <w:rFonts w:hint="default" w:cs="Times New Roman"/>
          <w:szCs w:val="24"/>
          <w:lang w:val="en-US" w:eastAsia="zh-CN" w:bidi="ar-SA"/>
        </w:rPr>
        <w:t xml:space="preserve">K. </w:t>
      </w:r>
      <w:r>
        <w:rPr>
          <w:rFonts w:hint="default" w:ascii="Times New Roman" w:hAnsi="Times New Roman" w:eastAsia="Times New Roman" w:cs="Times New Roman"/>
          <w:szCs w:val="24"/>
          <w:lang w:val="en-US" w:eastAsia="zh-CN" w:bidi="ar-SA"/>
        </w:rPr>
        <w:t xml:space="preserve">Murphy, </w:t>
      </w:r>
      <w:r>
        <w:rPr>
          <w:rFonts w:hint="default" w:cs="Times New Roman"/>
          <w:szCs w:val="24"/>
          <w:lang w:val="en-US" w:eastAsia="zh-CN" w:bidi="ar-SA"/>
        </w:rPr>
        <w:t xml:space="preserve">and H. P. V. </w:t>
      </w:r>
      <w:r>
        <w:rPr>
          <w:rFonts w:hint="default" w:ascii="Times New Roman" w:hAnsi="Times New Roman" w:eastAsia="Times New Roman" w:cs="Times New Roman"/>
          <w:szCs w:val="24"/>
          <w:lang w:val="en-US" w:eastAsia="zh-CN" w:bidi="ar-SA"/>
        </w:rPr>
        <w:t>Rupasinghe</w:t>
      </w:r>
      <w:r>
        <w:rPr>
          <w:rFonts w:hint="default" w:cs="Times New Roman"/>
          <w:szCs w:val="24"/>
          <w:lang w:val="en-US" w:eastAsia="zh-CN" w:bidi="ar-SA"/>
        </w:rPr>
        <w:t>, “</w:t>
      </w:r>
      <w:r>
        <w:rPr>
          <w:rFonts w:hint="default" w:ascii="Times New Roman" w:hAnsi="Times New Roman" w:eastAsia="Times New Roman" w:cs="Times New Roman"/>
          <w:szCs w:val="24"/>
          <w:lang w:val="en-US" w:eastAsia="zh-CN" w:bidi="ar-SA"/>
        </w:rPr>
        <w:t>Vitamin-containing antioxidant formulation reduces carcinogen-induced dna damage through atr/chk1 signaling in bronchial epithelial cells in vitro</w:t>
      </w:r>
      <w:r>
        <w:rPr>
          <w:rStyle w:val="19"/>
          <w:rFonts w:hint="default" w:ascii="Times New Roman" w:hAnsi="Times New Roman" w:eastAsia="Times New Roman" w:cs="Times New Roman"/>
          <w:szCs w:val="24"/>
          <w:lang w:val="en-US" w:eastAsia="zh-CN" w:bidi="ar-SA"/>
        </w:rPr>
        <w:t>,”</w:t>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cs="Times New Roman"/>
          <w:i/>
          <w:iCs/>
          <w:szCs w:val="24"/>
          <w:lang w:val="en-US" w:eastAsia="zh-CN" w:bidi="ar-SA"/>
        </w:rPr>
        <w:t>Biomedicines</w:t>
      </w:r>
      <w:r>
        <w:rPr>
          <w:rFonts w:hint="default" w:cs="Times New Roman"/>
          <w:i/>
          <w:iCs/>
          <w:szCs w:val="24"/>
          <w:lang w:val="en-US" w:eastAsia="zh-CN" w:bidi="ar-SA"/>
        </w:rPr>
        <w:t>,</w:t>
      </w:r>
      <w:r>
        <w:rPr>
          <w:rFonts w:hint="default" w:cs="Times New Roman"/>
          <w:szCs w:val="24"/>
          <w:lang w:val="en-US" w:eastAsia="zh-CN" w:bidi="ar-SA"/>
        </w:rPr>
        <w:t xml:space="preserve"> vol. 9, no. 1665, </w:t>
      </w:r>
      <w:r>
        <w:rPr>
          <w:rFonts w:hint="default" w:ascii="Times New Roman" w:hAnsi="Times New Roman" w:eastAsia="Times New Roman" w:cs="Times New Roman"/>
          <w:szCs w:val="24"/>
          <w:lang w:val="en-US" w:eastAsia="zh-CN" w:bidi="ar-SA"/>
        </w:rPr>
        <w:t>2021</w:t>
      </w:r>
      <w:r>
        <w:rPr>
          <w:rFonts w:hint="default" w:cs="Times New Roman"/>
          <w:szCs w:val="24"/>
          <w:lang w:val="en-US" w:eastAsia="zh-CN" w:bidi="ar-SA"/>
        </w:rPr>
        <w:t>, doi</w:t>
      </w:r>
      <w:r>
        <w:rPr>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ascii="Times New Roman" w:hAnsi="Times New Roman" w:eastAsia="Times New Roman" w:cs="Times New Roman"/>
          <w:szCs w:val="24"/>
          <w:lang w:val="en-US" w:eastAsia="zh-CN" w:bidi="ar-SA"/>
        </w:rPr>
        <w:t>https://doi.org/10.3390/biomedicines9111665</w:t>
      </w:r>
    </w:p>
    <w:p w14:paraId="5DA371CE">
      <w:pPr>
        <w:keepNext w:val="0"/>
        <w:keepLines w:val="0"/>
        <w:widowControl/>
        <w:suppressLineNumbers w:val="0"/>
        <w:ind w:left="700" w:hanging="700" w:hangingChars="35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cs="Times New Roman"/>
          <w:szCs w:val="24"/>
          <w:lang w:val="en-US" w:eastAsia="zh-CN" w:bidi="ar-SA"/>
        </w:rPr>
        <w:t>[31]     Y. Jiang, W. Leung, Q. Tang, H. Zhang, and C. Xu</w:t>
      </w:r>
      <w:r>
        <w:rPr>
          <w:rFonts w:hint="default" w:cs="Times New Roman"/>
          <w:szCs w:val="24"/>
          <w:lang w:val="en-US" w:eastAsia="zh-CN" w:bidi="ar-SA"/>
        </w:rPr>
        <w:t>, “</w:t>
      </w:r>
      <w:r>
        <w:rPr>
          <w:rFonts w:hint="default" w:ascii="Times New Roman" w:hAnsi="Times New Roman" w:eastAsia="Times New Roman" w:cs="Times New Roman"/>
          <w:szCs w:val="24"/>
          <w:lang w:val="en-US" w:eastAsia="zh-CN" w:bidi="ar-SA"/>
        </w:rPr>
        <w:t>Effect of Light-Activated Hypocrellin B on the Growth and Membrane Permeability of Gram-Negative Escherichia coli Cells</w:t>
      </w:r>
      <w:r>
        <w:rPr>
          <w:rStyle w:val="19"/>
          <w:rFonts w:hint="default" w:ascii="Times New Roman" w:hAnsi="Times New Roman" w:eastAsia="Times New Roman" w:cs="Times New Roman"/>
          <w:szCs w:val="24"/>
          <w:lang w:val="en-US" w:eastAsia="zh-CN" w:bidi="ar-SA"/>
        </w:rPr>
        <w:t>,”</w:t>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cs="Times New Roman"/>
          <w:i/>
          <w:iCs/>
          <w:szCs w:val="24"/>
          <w:lang w:val="en-US" w:eastAsia="zh-CN" w:bidi="ar-SA"/>
        </w:rPr>
        <w:t>International Journal of Photoenergy,</w:t>
      </w:r>
      <w:r>
        <w:rPr>
          <w:rFonts w:hint="default" w:ascii="Times New Roman" w:hAnsi="Times New Roman" w:eastAsia="Times New Roman" w:cs="Times New Roman"/>
          <w:i w:val="0"/>
          <w:iCs w:val="0"/>
          <w:szCs w:val="24"/>
          <w:lang w:val="en-US" w:eastAsia="zh-CN" w:bidi="ar-SA"/>
        </w:rPr>
        <w:t xml:space="preserve"> vol. </w:t>
      </w:r>
      <w:r>
        <w:rPr>
          <w:rFonts w:hint="default" w:ascii="Times New Roman" w:hAnsi="Times New Roman" w:eastAsia="Times New Roman" w:cs="Times New Roman"/>
          <w:szCs w:val="24"/>
          <w:lang w:val="en-US" w:eastAsia="zh-CN" w:bidi="ar-SA"/>
        </w:rPr>
        <w:t>2014, pp. 1–6, 2014, doi: https://doi.org/10.1155/2014/521209</w:t>
      </w:r>
    </w:p>
    <w:p w14:paraId="26DB208C">
      <w:pPr>
        <w:keepNext w:val="0"/>
        <w:keepLines w:val="0"/>
        <w:widowControl/>
        <w:suppressLineNumbers w:val="0"/>
        <w:ind w:left="700" w:hanging="700" w:hangingChars="350"/>
        <w:jc w:val="both"/>
        <w:rPr>
          <w:rFonts w:hint="default" w:ascii="Times New Roman" w:hAnsi="Times New Roman" w:eastAsia="Times New Roman"/>
          <w:szCs w:val="24"/>
          <w:lang w:val="en-US" w:eastAsia="zh-CN"/>
        </w:rPr>
      </w:pPr>
      <w:r>
        <w:rPr>
          <w:rFonts w:hint="default" w:ascii="Times New Roman" w:hAnsi="Times New Roman" w:eastAsia="Times New Roman" w:cs="Times New Roman"/>
          <w:szCs w:val="24"/>
          <w:lang w:val="en-US" w:eastAsia="zh-CN" w:bidi="ar-SA"/>
        </w:rPr>
        <w:t>[32]     Y. Jia, X. Wang, Q. Liu, A. W. Leung , P. Wang, and C. Xu</w:t>
      </w:r>
      <w:r>
        <w:rPr>
          <w:rFonts w:hint="default" w:cs="Times New Roman"/>
          <w:szCs w:val="24"/>
          <w:lang w:val="en-US" w:eastAsia="zh-CN" w:bidi="ar-SA"/>
        </w:rPr>
        <w:t xml:space="preserve">, </w:t>
      </w:r>
      <w:r>
        <w:rPr>
          <w:rFonts w:hint="default" w:ascii="Times New Roman" w:hAnsi="Times New Roman" w:eastAsia="Times New Roman" w:cs="Times New Roman"/>
          <w:szCs w:val="24"/>
          <w:lang w:val="en-US" w:eastAsia="zh-CN" w:bidi="ar-SA"/>
        </w:rPr>
        <w:t>“Sono</w:t>
      </w:r>
      <w:r>
        <w:rPr>
          <w:rFonts w:hint="default" w:ascii="Times New Roman" w:hAnsi="Times New Roman" w:eastAsia="Times New Roman" w:cs="Times New Roman"/>
          <w:i/>
          <w:iCs/>
          <w:szCs w:val="24"/>
          <w:lang w:val="en-US" w:eastAsia="zh-CN" w:bidi="ar-SA"/>
        </w:rPr>
        <w:t>Ultrasonics,</w:t>
      </w:r>
      <w:r>
        <w:rPr>
          <w:rFonts w:hint="default" w:ascii="Times New Roman" w:hAnsi="Times New Roman" w:eastAsia="Times New Roman" w:cs="Times New Roman"/>
          <w:szCs w:val="24"/>
          <w:lang w:val="en-US" w:eastAsia="zh-CN" w:bidi="ar-SA"/>
        </w:rPr>
        <w:t>dynamic action of hypocrellin B triggers cell apoptoisis of breast cancer cells involving caspase pathway</w:t>
      </w:r>
      <w:r>
        <w:rPr>
          <w:rStyle w:val="19"/>
          <w:rFonts w:hint="default" w:ascii="Times New Roman" w:hAnsi="Times New Roman" w:eastAsia="Times New Roman" w:cs="Times New Roman"/>
          <w:szCs w:val="24"/>
          <w:lang w:val="en-US" w:eastAsia="zh-CN" w:bidi="ar-SA"/>
        </w:rPr>
        <w:t>,”</w:t>
      </w:r>
      <w:r>
        <w:rPr>
          <w:rStyle w:val="19"/>
          <w:rFonts w:hint="default" w:ascii="Times New Roman" w:hAnsi="Times New Roman" w:eastAsia="Times New Roman" w:cs="Times New Roman"/>
          <w:i/>
          <w:iCs/>
          <w:szCs w:val="24"/>
          <w:lang w:val="en-US" w:eastAsia="zh-CN" w:bidi="ar-SA"/>
        </w:rPr>
        <w:t xml:space="preserve"> Ultrasonics,</w:t>
      </w:r>
      <w:r>
        <w:rPr>
          <w:rFonts w:hint="default" w:ascii="Times New Roman" w:hAnsi="Times New Roman" w:eastAsia="Times New Roman" w:cs="Times New Roman"/>
          <w:szCs w:val="24"/>
          <w:lang w:val="en-US" w:eastAsia="zh-CN" w:bidi="ar-SA"/>
        </w:rPr>
        <w:t xml:space="preserve"> vol. 73, pp. 154-161, 2017, doi: </w:t>
      </w:r>
      <w:r>
        <w:rPr>
          <w:rFonts w:hint="default" w:ascii="Times New Roman" w:hAnsi="Times New Roman" w:eastAsia="Times New Roman"/>
          <w:szCs w:val="24"/>
          <w:lang w:val="en-US" w:eastAsia="zh-CN"/>
        </w:rPr>
        <w:fldChar w:fldCharType="begin"/>
      </w:r>
      <w:r>
        <w:rPr>
          <w:rFonts w:hint="default" w:ascii="Times New Roman" w:hAnsi="Times New Roman" w:eastAsia="Times New Roman"/>
          <w:szCs w:val="24"/>
          <w:lang w:val="en-US" w:eastAsia="zh-CN"/>
        </w:rPr>
        <w:instrText xml:space="preserve"> HYPERLINK "http://dx.doi.org/10.1016/j.ultras.2016.09.013" </w:instrText>
      </w:r>
      <w:r>
        <w:rPr>
          <w:rFonts w:hint="default" w:ascii="Times New Roman" w:hAnsi="Times New Roman" w:eastAsia="Times New Roman"/>
          <w:szCs w:val="24"/>
          <w:lang w:val="en-US" w:eastAsia="zh-CN"/>
        </w:rPr>
        <w:fldChar w:fldCharType="separate"/>
      </w:r>
      <w:r>
        <w:rPr>
          <w:rStyle w:val="19"/>
          <w:rFonts w:hint="default" w:ascii="Times New Roman" w:hAnsi="Times New Roman" w:eastAsia="Times New Roman"/>
          <w:szCs w:val="24"/>
          <w:lang w:val="en-US" w:eastAsia="zh-CN"/>
        </w:rPr>
        <w:t>http://dx.doi.org/10.1016/j.ultras.2016.09.013</w:t>
      </w:r>
      <w:r>
        <w:rPr>
          <w:rFonts w:hint="default" w:ascii="Times New Roman" w:hAnsi="Times New Roman" w:eastAsia="Times New Roman"/>
          <w:szCs w:val="24"/>
          <w:lang w:val="en-US" w:eastAsia="zh-CN"/>
        </w:rPr>
        <w:fldChar w:fldCharType="end"/>
      </w:r>
    </w:p>
    <w:p w14:paraId="44F607E9">
      <w:pPr>
        <w:keepNext w:val="0"/>
        <w:keepLines w:val="0"/>
        <w:widowControl/>
        <w:suppressLineNumbers w:val="0"/>
        <w:ind w:left="700" w:hanging="700" w:hangingChars="350"/>
        <w:jc w:val="both"/>
        <w:rPr>
          <w:rFonts w:hint="default" w:ascii="Times New Roman" w:hAnsi="Times New Roman" w:eastAsia="Times New Roman"/>
          <w:szCs w:val="24"/>
          <w:lang w:val="en-US" w:eastAsia="zh-CN"/>
        </w:rPr>
      </w:pPr>
      <w:r>
        <w:rPr>
          <w:rFonts w:hint="default" w:ascii="Times New Roman" w:hAnsi="Times New Roman" w:eastAsia="Times New Roman"/>
          <w:szCs w:val="24"/>
          <w:lang w:val="en-US" w:eastAsia="zh-CN"/>
        </w:rPr>
        <w:t xml:space="preserve">[33]      </w:t>
      </w:r>
      <w:r>
        <w:rPr>
          <w:rFonts w:hint="default" w:ascii="Times New Roman" w:hAnsi="Times New Roman" w:eastAsia="Times New Roman" w:cs="Times New Roman"/>
          <w:szCs w:val="24"/>
          <w:lang w:val="en-US" w:eastAsia="zh-CN" w:bidi="ar-SA"/>
        </w:rPr>
        <w:t>P. S. Ramos, C. Ferreira, C. L. A. Passos, J. L. Silva, and E. Fialho, “Effect of quercetin and chrysin and its association on viability and cell cycle progression in MDA-MB-231 and MCF-7 human breast cancer cells</w:t>
      </w:r>
      <w:r>
        <w:rPr>
          <w:rStyle w:val="19"/>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cs="Times New Roman"/>
          <w:i/>
          <w:iCs/>
          <w:szCs w:val="24"/>
          <w:lang w:val="en-US" w:eastAsia="zh-CN" w:bidi="ar-SA"/>
        </w:rPr>
        <w:t>Biomedicine &amp; Pharmacotherapy,</w:t>
      </w:r>
      <w:r>
        <w:rPr>
          <w:rFonts w:hint="default" w:ascii="Times New Roman" w:hAnsi="Times New Roman" w:eastAsia="Times New Roman" w:cs="Times New Roman"/>
          <w:szCs w:val="24"/>
          <w:lang w:val="en-US" w:eastAsia="zh-CN" w:bidi="ar-SA"/>
        </w:rPr>
        <w:t xml:space="preserve"> vol. 179, no. 117276, 2024, doi: </w:t>
      </w:r>
      <w:r>
        <w:rPr>
          <w:rFonts w:hint="default" w:ascii="Times New Roman" w:hAnsi="Times New Roman" w:eastAsia="Times New Roman"/>
          <w:szCs w:val="24"/>
          <w:lang w:val="en-US" w:eastAsia="zh-CN"/>
        </w:rPr>
        <w:fldChar w:fldCharType="begin"/>
      </w:r>
      <w:r>
        <w:rPr>
          <w:rFonts w:hint="default" w:ascii="Times New Roman" w:hAnsi="Times New Roman" w:eastAsia="Times New Roman"/>
          <w:szCs w:val="24"/>
          <w:lang w:val="en-US" w:eastAsia="zh-CN"/>
        </w:rPr>
        <w:instrText xml:space="preserve"> HYPERLINK "https://doi.org/10.1016/j.biopha.2024.117276" </w:instrText>
      </w:r>
      <w:r>
        <w:rPr>
          <w:rFonts w:hint="default" w:ascii="Times New Roman" w:hAnsi="Times New Roman" w:eastAsia="Times New Roman"/>
          <w:szCs w:val="24"/>
          <w:lang w:val="en-US" w:eastAsia="zh-CN"/>
        </w:rPr>
        <w:fldChar w:fldCharType="separate"/>
      </w:r>
      <w:r>
        <w:rPr>
          <w:rStyle w:val="19"/>
          <w:rFonts w:hint="default" w:ascii="Times New Roman" w:hAnsi="Times New Roman" w:eastAsia="Times New Roman"/>
          <w:szCs w:val="24"/>
          <w:lang w:val="en-US" w:eastAsia="zh-CN"/>
        </w:rPr>
        <w:t>https://doi.org/10.1016/j.biopha.2024.117276</w:t>
      </w:r>
      <w:r>
        <w:rPr>
          <w:rFonts w:hint="default" w:ascii="Times New Roman" w:hAnsi="Times New Roman" w:eastAsia="Times New Roman"/>
          <w:szCs w:val="24"/>
          <w:lang w:val="en-US" w:eastAsia="zh-CN"/>
        </w:rPr>
        <w:fldChar w:fldCharType="end"/>
      </w:r>
    </w:p>
    <w:p w14:paraId="7A036824">
      <w:pPr>
        <w:keepNext w:val="0"/>
        <w:keepLines w:val="0"/>
        <w:widowControl/>
        <w:suppressLineNumbers w:val="0"/>
        <w:ind w:left="700" w:hanging="700" w:hangingChars="35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szCs w:val="24"/>
          <w:lang w:val="en-US" w:eastAsia="zh-CN"/>
        </w:rPr>
        <w:t xml:space="preserve">[34]    </w:t>
      </w:r>
      <w:r>
        <w:rPr>
          <w:rFonts w:hint="default" w:ascii="Times New Roman" w:hAnsi="Times New Roman" w:eastAsia="Times New Roman" w:cs="Times New Roman"/>
          <w:szCs w:val="24"/>
          <w:lang w:val="en-US" w:eastAsia="zh-CN" w:bidi="ar-SA"/>
        </w:rPr>
        <w:fldChar w:fldCharType="begin"/>
      </w:r>
      <w:r>
        <w:rPr>
          <w:rFonts w:hint="default" w:ascii="Times New Roman" w:hAnsi="Times New Roman" w:eastAsia="Times New Roman" w:cs="Times New Roman"/>
          <w:szCs w:val="24"/>
          <w:lang w:val="en-US" w:eastAsia="zh-CN" w:bidi="ar-SA"/>
        </w:rPr>
        <w:instrText xml:space="preserve"> HYPERLINK "https://www.tandfonline.com/author/Jiang,+Yuan" </w:instrText>
      </w:r>
      <w:r>
        <w:rPr>
          <w:rFonts w:hint="default" w:ascii="Times New Roman" w:hAnsi="Times New Roman" w:eastAsia="Times New Roman" w:cs="Times New Roman"/>
          <w:szCs w:val="24"/>
          <w:lang w:val="en-US" w:eastAsia="zh-CN" w:bidi="ar-SA"/>
        </w:rPr>
        <w:fldChar w:fldCharType="separate"/>
      </w:r>
      <w:r>
        <w:rPr>
          <w:rFonts w:hint="default" w:ascii="Times New Roman" w:hAnsi="Times New Roman" w:eastAsia="Times New Roman" w:cs="Times New Roman"/>
          <w:szCs w:val="24"/>
          <w:lang w:val="en-US" w:eastAsia="zh-CN" w:bidi="ar-SA"/>
        </w:rPr>
        <w:t>Y. Jiang</w:t>
      </w:r>
      <w:r>
        <w:rPr>
          <w:rFonts w:hint="default" w:ascii="Times New Roman" w:hAnsi="Times New Roman" w:eastAsia="Times New Roman" w:cs="Times New Roman"/>
          <w:szCs w:val="24"/>
          <w:lang w:val="en-US" w:eastAsia="zh-CN" w:bidi="ar-SA"/>
        </w:rPr>
        <w:fldChar w:fldCharType="end"/>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cs="Times New Roman"/>
          <w:szCs w:val="24"/>
          <w:lang w:val="en-US" w:eastAsia="zh-CN" w:bidi="ar-SA"/>
        </w:rPr>
        <w:fldChar w:fldCharType="begin"/>
      </w:r>
      <w:r>
        <w:rPr>
          <w:rFonts w:hint="default" w:ascii="Times New Roman" w:hAnsi="Times New Roman" w:eastAsia="Times New Roman" w:cs="Times New Roman"/>
          <w:szCs w:val="24"/>
          <w:lang w:val="en-US" w:eastAsia="zh-CN" w:bidi="ar-SA"/>
        </w:rPr>
        <w:instrText xml:space="preserve"> HYPERLINK "https://www.tandfonline.com/author/Leung,+Albert+Wingnang" </w:instrText>
      </w:r>
      <w:r>
        <w:rPr>
          <w:rFonts w:hint="default" w:ascii="Times New Roman" w:hAnsi="Times New Roman" w:eastAsia="Times New Roman" w:cs="Times New Roman"/>
          <w:szCs w:val="24"/>
          <w:lang w:val="en-US" w:eastAsia="zh-CN" w:bidi="ar-SA"/>
        </w:rPr>
        <w:fldChar w:fldCharType="separate"/>
      </w:r>
      <w:r>
        <w:rPr>
          <w:rFonts w:hint="default" w:ascii="Times New Roman" w:hAnsi="Times New Roman" w:eastAsia="Times New Roman" w:cs="Times New Roman"/>
          <w:szCs w:val="24"/>
          <w:lang w:val="en-US" w:eastAsia="zh-CN" w:bidi="ar-SA"/>
        </w:rPr>
        <w:t>A. W. Leung</w:t>
      </w:r>
      <w:r>
        <w:rPr>
          <w:rFonts w:hint="default" w:ascii="Times New Roman" w:hAnsi="Times New Roman" w:eastAsia="Times New Roman" w:cs="Times New Roman"/>
          <w:szCs w:val="24"/>
          <w:lang w:val="en-US" w:eastAsia="zh-CN" w:bidi="ar-SA"/>
        </w:rPr>
        <w:fldChar w:fldCharType="end"/>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cs="Times New Roman"/>
          <w:szCs w:val="24"/>
          <w:lang w:val="en-US" w:eastAsia="zh-CN" w:bidi="ar-SA"/>
        </w:rPr>
        <w:fldChar w:fldCharType="begin"/>
      </w:r>
      <w:r>
        <w:rPr>
          <w:rFonts w:hint="default" w:ascii="Times New Roman" w:hAnsi="Times New Roman" w:eastAsia="Times New Roman" w:cs="Times New Roman"/>
          <w:szCs w:val="24"/>
          <w:lang w:val="en-US" w:eastAsia="zh-CN" w:bidi="ar-SA"/>
        </w:rPr>
        <w:instrText xml:space="preserve"> HYPERLINK "https://www.tandfonline.com/author/Wang,+Xinna" </w:instrText>
      </w:r>
      <w:r>
        <w:rPr>
          <w:rFonts w:hint="default" w:ascii="Times New Roman" w:hAnsi="Times New Roman" w:eastAsia="Times New Roman" w:cs="Times New Roman"/>
          <w:szCs w:val="24"/>
          <w:lang w:val="en-US" w:eastAsia="zh-CN" w:bidi="ar-SA"/>
        </w:rPr>
        <w:fldChar w:fldCharType="separate"/>
      </w:r>
      <w:r>
        <w:rPr>
          <w:rFonts w:hint="default" w:ascii="Times New Roman" w:hAnsi="Times New Roman" w:eastAsia="Times New Roman" w:cs="Times New Roman"/>
          <w:szCs w:val="24"/>
          <w:lang w:val="en-US" w:eastAsia="zh-CN" w:bidi="ar-SA"/>
        </w:rPr>
        <w:t>X. Wang</w:t>
      </w:r>
      <w:r>
        <w:rPr>
          <w:rFonts w:hint="default" w:ascii="Times New Roman" w:hAnsi="Times New Roman" w:eastAsia="Times New Roman" w:cs="Times New Roman"/>
          <w:szCs w:val="24"/>
          <w:lang w:val="en-US" w:eastAsia="zh-CN" w:bidi="ar-SA"/>
        </w:rPr>
        <w:fldChar w:fldCharType="end"/>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cs="Times New Roman"/>
          <w:szCs w:val="24"/>
          <w:lang w:val="en-US" w:eastAsia="zh-CN" w:bidi="ar-SA"/>
        </w:rPr>
        <w:fldChar w:fldCharType="begin"/>
      </w:r>
      <w:r>
        <w:rPr>
          <w:rFonts w:hint="default" w:ascii="Times New Roman" w:hAnsi="Times New Roman" w:eastAsia="Times New Roman" w:cs="Times New Roman"/>
          <w:szCs w:val="24"/>
          <w:lang w:val="en-US" w:eastAsia="zh-CN" w:bidi="ar-SA"/>
        </w:rPr>
        <w:instrText xml:space="preserve"> HYPERLINK "https://www.tandfonline.com/author/Zhang,+Hongwei" </w:instrText>
      </w:r>
      <w:r>
        <w:rPr>
          <w:rFonts w:hint="default" w:ascii="Times New Roman" w:hAnsi="Times New Roman" w:eastAsia="Times New Roman" w:cs="Times New Roman"/>
          <w:szCs w:val="24"/>
          <w:lang w:val="en-US" w:eastAsia="zh-CN" w:bidi="ar-SA"/>
        </w:rPr>
        <w:fldChar w:fldCharType="separate"/>
      </w:r>
      <w:r>
        <w:rPr>
          <w:rFonts w:hint="default" w:ascii="Times New Roman" w:hAnsi="Times New Roman" w:eastAsia="Times New Roman" w:cs="Times New Roman"/>
          <w:szCs w:val="24"/>
          <w:lang w:val="en-US" w:eastAsia="zh-CN" w:bidi="ar-SA"/>
        </w:rPr>
        <w:t>H. Zhang</w:t>
      </w:r>
      <w:r>
        <w:rPr>
          <w:rFonts w:hint="default" w:ascii="Times New Roman" w:hAnsi="Times New Roman" w:eastAsia="Times New Roman" w:cs="Times New Roman"/>
          <w:szCs w:val="24"/>
          <w:lang w:val="en-US" w:eastAsia="zh-CN" w:bidi="ar-SA"/>
        </w:rPr>
        <w:fldChar w:fldCharType="end"/>
      </w:r>
      <w:r>
        <w:rPr>
          <w:rFonts w:hint="default" w:ascii="Times New Roman" w:hAnsi="Times New Roman" w:eastAsia="Times New Roman" w:cs="Times New Roman"/>
          <w:szCs w:val="24"/>
          <w:lang w:val="en-US" w:eastAsia="zh-CN" w:bidi="ar-SA"/>
        </w:rPr>
        <w:t xml:space="preserve">, and </w:t>
      </w:r>
      <w:r>
        <w:rPr>
          <w:rFonts w:hint="default" w:ascii="Times New Roman" w:hAnsi="Times New Roman" w:eastAsia="Times New Roman" w:cs="Times New Roman"/>
          <w:szCs w:val="24"/>
          <w:lang w:val="en-US" w:eastAsia="zh-CN" w:bidi="ar-SA"/>
        </w:rPr>
        <w:fldChar w:fldCharType="begin"/>
      </w:r>
      <w:r>
        <w:rPr>
          <w:rFonts w:hint="default" w:ascii="Times New Roman" w:hAnsi="Times New Roman" w:eastAsia="Times New Roman" w:cs="Times New Roman"/>
          <w:szCs w:val="24"/>
          <w:lang w:val="en-US" w:eastAsia="zh-CN" w:bidi="ar-SA"/>
        </w:rPr>
        <w:instrText xml:space="preserve"> HYPERLINK "https://www.tandfonline.com/author/Xu,+Chuanshan" </w:instrText>
      </w:r>
      <w:r>
        <w:rPr>
          <w:rFonts w:hint="default" w:ascii="Times New Roman" w:hAnsi="Times New Roman" w:eastAsia="Times New Roman" w:cs="Times New Roman"/>
          <w:szCs w:val="24"/>
          <w:lang w:val="en-US" w:eastAsia="zh-CN" w:bidi="ar-SA"/>
        </w:rPr>
        <w:fldChar w:fldCharType="separate"/>
      </w:r>
      <w:r>
        <w:rPr>
          <w:rFonts w:hint="default" w:ascii="Times New Roman" w:hAnsi="Times New Roman" w:eastAsia="Times New Roman" w:cs="Times New Roman"/>
          <w:szCs w:val="24"/>
          <w:lang w:val="en-US" w:eastAsia="zh-CN" w:bidi="ar-SA"/>
        </w:rPr>
        <w:t>C. Xu</w:t>
      </w:r>
      <w:r>
        <w:rPr>
          <w:rFonts w:hint="default" w:ascii="Times New Roman" w:hAnsi="Times New Roman" w:eastAsia="Times New Roman" w:cs="Times New Roman"/>
          <w:szCs w:val="24"/>
          <w:lang w:val="en-US" w:eastAsia="zh-CN" w:bidi="ar-SA"/>
        </w:rPr>
        <w:fldChar w:fldCharType="end"/>
      </w:r>
      <w:r>
        <w:rPr>
          <w:rFonts w:hint="default" w:ascii="Times New Roman" w:hAnsi="Times New Roman" w:eastAsia="Times New Roman" w:cs="Times New Roman"/>
          <w:szCs w:val="24"/>
          <w:lang w:val="en-US" w:eastAsia="zh-CN" w:bidi="ar-SA"/>
        </w:rPr>
        <w:t>, “Effect of photodynamic therapy with hypocrellin B on apoptosis, adhesion, and migration of cancer cells</w:t>
      </w:r>
      <w:r>
        <w:rPr>
          <w:rStyle w:val="19"/>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cs="Times New Roman"/>
          <w:i/>
          <w:iCs/>
          <w:szCs w:val="24"/>
          <w:lang w:val="en-US" w:eastAsia="zh-CN" w:bidi="ar-SA"/>
        </w:rPr>
        <w:t>International Journal of Radiation Biology,</w:t>
      </w:r>
      <w:r>
        <w:rPr>
          <w:rFonts w:hint="default" w:ascii="Times New Roman" w:hAnsi="Times New Roman" w:eastAsia="Times New Roman" w:cs="Times New Roman"/>
          <w:szCs w:val="24"/>
          <w:lang w:val="en-US" w:eastAsia="zh-CN" w:bidi="ar-SA"/>
        </w:rPr>
        <w:t xml:space="preserve"> vol. 90, no. 7, pp. 575-579, 2014, doi: </w:t>
      </w:r>
      <w:r>
        <w:rPr>
          <w:rFonts w:hint="default" w:ascii="Times New Roman" w:hAnsi="Times New Roman" w:eastAsia="Times New Roman"/>
          <w:szCs w:val="24"/>
          <w:lang w:val="en-US" w:eastAsia="zh-CN"/>
        </w:rPr>
        <w:t>https://doi.org/10.3109/09553002.2014.906765</w:t>
      </w:r>
    </w:p>
    <w:p w14:paraId="134CA24F">
      <w:pPr>
        <w:keepNext w:val="0"/>
        <w:keepLines w:val="0"/>
        <w:widowControl/>
        <w:suppressLineNumbers w:val="0"/>
        <w:ind w:left="700" w:hanging="700" w:hangingChars="350"/>
        <w:jc w:val="both"/>
        <w:rPr>
          <w:rFonts w:hint="default" w:ascii="Times New Roman" w:hAnsi="Times New Roman" w:eastAsia="Times New Roman" w:cs="Times New Roman"/>
          <w:szCs w:val="24"/>
          <w:lang w:val="en-US" w:eastAsia="zh-CN" w:bidi="ar-SA"/>
        </w:rPr>
      </w:pPr>
      <w:r>
        <w:rPr>
          <w:rFonts w:hint="default" w:ascii="Times New Roman" w:hAnsi="Times New Roman" w:eastAsia="Times New Roman"/>
          <w:szCs w:val="24"/>
          <w:lang w:val="en-US" w:eastAsia="zh-CN"/>
        </w:rPr>
        <w:t xml:space="preserve">[35]       </w:t>
      </w:r>
      <w:r>
        <w:rPr>
          <w:rFonts w:hint="default" w:ascii="Times New Roman" w:hAnsi="Times New Roman" w:eastAsia="Times New Roman" w:cs="Times New Roman"/>
          <w:szCs w:val="24"/>
          <w:lang w:val="en-US" w:eastAsia="zh-CN" w:bidi="ar-SA"/>
        </w:rPr>
        <w:fldChar w:fldCharType="begin"/>
      </w:r>
      <w:r>
        <w:rPr>
          <w:rFonts w:hint="default" w:ascii="Times New Roman" w:hAnsi="Times New Roman" w:eastAsia="Times New Roman" w:cs="Times New Roman"/>
          <w:szCs w:val="24"/>
          <w:lang w:val="en-US" w:eastAsia="zh-CN" w:bidi="ar-SA"/>
        </w:rPr>
        <w:instrText xml:space="preserve"> HYPERLINK "https://www.researchgate.net/profile/Mahmoud-Hashemzaei?_sg[0]=tQbaDeh8apbVO-jAAwAVjxtmiaRFMf5JwdgKA4N7u2iv_oOD4S45ITayFuQo-bbHM0qIlCQ.Svb7i21wkcxktpGNHhTsKVE50SGDEHNlsuI4l7c7VWRx8-V0y4jq269L1wB3LnwdXxdYeSz3wo_44HUJTA7mQA&amp;_sg[1]=56jgM-P65nG76UT7m1V2zgRpqhiNMiSUE9vuXjHoG93XJVFFn4zOpmGolY-WRsZARIqwJ5c.A6w362bhqGi0bQXu1alDPbJgFqtwexZxq4kWm9ODRWO_OiTInBCjuBrpUOZgsCoyOf0aOuw7KtiPDw1JZqHt8g&amp;_tp=eyJjb250ZXh0Ijp7ImZpcnN0UGFnZSI6InB1YmxpY2F0aW9uIiwicGFnZSI6InB1YmxpY2F0aW9uIiwicG9zaXRpb24iOiJwYWdlSGVhZGVyIn19" </w:instrText>
      </w:r>
      <w:r>
        <w:rPr>
          <w:rFonts w:hint="default" w:ascii="Times New Roman" w:hAnsi="Times New Roman" w:eastAsia="Times New Roman" w:cs="Times New Roman"/>
          <w:szCs w:val="24"/>
          <w:lang w:val="en-US" w:eastAsia="zh-CN" w:bidi="ar-SA"/>
        </w:rPr>
        <w:fldChar w:fldCharType="separate"/>
      </w:r>
      <w:r>
        <w:rPr>
          <w:rFonts w:hint="default" w:ascii="Times New Roman" w:hAnsi="Times New Roman" w:eastAsia="Times New Roman" w:cs="Times New Roman"/>
          <w:szCs w:val="24"/>
          <w:lang w:val="en-US" w:eastAsia="zh-CN" w:bidi="ar-SA"/>
        </w:rPr>
        <w:t>M. Hashemzaei</w:t>
      </w:r>
      <w:r>
        <w:rPr>
          <w:rFonts w:hint="default" w:ascii="Times New Roman" w:hAnsi="Times New Roman" w:eastAsia="Times New Roman" w:cs="Times New Roman"/>
          <w:szCs w:val="24"/>
          <w:lang w:val="en-US" w:eastAsia="zh-CN" w:bidi="ar-SA"/>
        </w:rPr>
        <w:fldChar w:fldCharType="end"/>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cs="Times New Roman"/>
          <w:szCs w:val="24"/>
          <w:lang w:val="en-US" w:eastAsia="zh-CN" w:bidi="ar-SA"/>
        </w:rPr>
        <w:fldChar w:fldCharType="begin"/>
      </w:r>
      <w:r>
        <w:rPr>
          <w:rFonts w:hint="default" w:ascii="Times New Roman" w:hAnsi="Times New Roman" w:eastAsia="Times New Roman" w:cs="Times New Roman"/>
          <w:szCs w:val="24"/>
          <w:lang w:val="en-US" w:eastAsia="zh-CN" w:bidi="ar-SA"/>
        </w:rPr>
        <w:instrText xml:space="preserve"> HYPERLINK "https://www.researchgate.net/scientific-contributions/Amin-Delarami-Far-2129791291?_sg[0]=tQbaDeh8apbVO-jAAwAVjxtmiaRFMf5JwdgKA4N7u2iv_oOD4S45ITayFuQo-bbHM0qIlCQ.Svb7i21wkcxktpGNHhTsKVE50SGDEHNlsuI4l7c7VWRx8-V0y4jq269L1wB3LnwdXxdYeSz3wo_44HUJTA7mQA&amp;_sg[1]=56jgM-P65nG76UT7m1V2zgRpqhiNMiSUE9vuXjHoG93XJVFFn4zOpmGolY-WRsZARIqwJ5c.A6w362bhqGi0bQXu1alDPbJgFqtwexZxq4kWm9ODRWO_OiTInBCjuBrpUOZgsCoyOf0aOuw7KtiPDw1JZqHt8g&amp;_tp=eyJjb250ZXh0Ijp7ImZpcnN0UGFnZSI6InB1YmxpY2F0aW9uIiwicGFnZSI6InB1YmxpY2F0aW9uIiwicG9zaXRpb24iOiJwYWdlSGVhZGVyIn19" </w:instrText>
      </w:r>
      <w:r>
        <w:rPr>
          <w:rFonts w:hint="default" w:ascii="Times New Roman" w:hAnsi="Times New Roman" w:eastAsia="Times New Roman" w:cs="Times New Roman"/>
          <w:szCs w:val="24"/>
          <w:lang w:val="en-US" w:eastAsia="zh-CN" w:bidi="ar-SA"/>
        </w:rPr>
        <w:fldChar w:fldCharType="separate"/>
      </w:r>
      <w:r>
        <w:rPr>
          <w:rFonts w:hint="default" w:ascii="Times New Roman" w:hAnsi="Times New Roman" w:eastAsia="Times New Roman" w:cs="Times New Roman"/>
          <w:szCs w:val="24"/>
          <w:lang w:val="en-US" w:eastAsia="zh-CN" w:bidi="ar-SA"/>
        </w:rPr>
        <w:t>A. D. Far</w:t>
      </w:r>
      <w:r>
        <w:rPr>
          <w:rFonts w:hint="default" w:ascii="Times New Roman" w:hAnsi="Times New Roman" w:eastAsia="Times New Roman" w:cs="Times New Roman"/>
          <w:szCs w:val="24"/>
          <w:lang w:val="en-US" w:eastAsia="zh-CN" w:bidi="ar-SA"/>
        </w:rPr>
        <w:fldChar w:fldCharType="end"/>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cs="Times New Roman"/>
          <w:szCs w:val="24"/>
          <w:lang w:val="en-US" w:eastAsia="zh-CN" w:bidi="ar-SA"/>
        </w:rPr>
        <w:fldChar w:fldCharType="begin"/>
      </w:r>
      <w:r>
        <w:rPr>
          <w:rFonts w:hint="default" w:ascii="Times New Roman" w:hAnsi="Times New Roman" w:eastAsia="Times New Roman" w:cs="Times New Roman"/>
          <w:szCs w:val="24"/>
          <w:lang w:val="en-US" w:eastAsia="zh-CN" w:bidi="ar-SA"/>
        </w:rPr>
        <w:instrText xml:space="preserve"> HYPERLINK "https://www.researchgate.net/scientific-contributions/Arezoo-Yari-2129776812?_sg[0]=tQbaDeh8apbVO-jAAwAVjxtmiaRFMf5JwdgKA4N7u2iv_oOD4S45ITayFuQo-bbHM0qIlCQ.Svb7i21wkcxktpGNHhTsKVE50SGDEHNlsuI4l7c7VWRx8-V0y4jq269L1wB3LnwdXxdYeSz3wo_44HUJTA7mQA&amp;_sg[1]=56jgM-P65nG76UT7m1V2zgRpqhiNMiSUE9vuXjHoG93XJVFFn4zOpmGolY-WRsZARIqwJ5c.A6w362bhqGi0bQXu1alDPbJgFqtwexZxq4kWm9ODRWO_OiTInBCjuBrpUOZgsCoyOf0aOuw7KtiPDw1JZqHt8g" </w:instrText>
      </w:r>
      <w:r>
        <w:rPr>
          <w:rFonts w:hint="default" w:ascii="Times New Roman" w:hAnsi="Times New Roman" w:eastAsia="Times New Roman" w:cs="Times New Roman"/>
          <w:szCs w:val="24"/>
          <w:lang w:val="en-US" w:eastAsia="zh-CN" w:bidi="ar-SA"/>
        </w:rPr>
        <w:fldChar w:fldCharType="separate"/>
      </w:r>
      <w:r>
        <w:rPr>
          <w:rFonts w:hint="default" w:ascii="Times New Roman" w:hAnsi="Times New Roman" w:eastAsia="Times New Roman" w:cs="Times New Roman"/>
          <w:szCs w:val="24"/>
          <w:lang w:val="en-US" w:eastAsia="zh-CN" w:bidi="ar-SA"/>
        </w:rPr>
        <w:t>A. Yari</w:t>
      </w:r>
      <w:r>
        <w:rPr>
          <w:rFonts w:hint="default" w:ascii="Times New Roman" w:hAnsi="Times New Roman" w:eastAsia="Times New Roman" w:cs="Times New Roman"/>
          <w:szCs w:val="24"/>
          <w:lang w:val="en-US" w:eastAsia="zh-CN" w:bidi="ar-SA"/>
        </w:rPr>
        <w:fldChar w:fldCharType="end"/>
      </w:r>
      <w:r>
        <w:rPr>
          <w:rFonts w:hint="default" w:ascii="Times New Roman" w:hAnsi="Times New Roman" w:eastAsia="Times New Roman" w:cs="Times New Roman"/>
          <w:szCs w:val="24"/>
          <w:lang w:val="en-US" w:eastAsia="zh-CN" w:bidi="ar-SA"/>
        </w:rPr>
        <w:t xml:space="preserve">, </w:t>
      </w:r>
      <w:r>
        <w:rPr>
          <w:rFonts w:hint="default" w:ascii="Times New Roman" w:hAnsi="Times New Roman" w:eastAsia="Times New Roman" w:cs="Times New Roman"/>
          <w:szCs w:val="24"/>
          <w:lang w:val="en-US" w:eastAsia="zh-CN" w:bidi="ar-SA"/>
        </w:rPr>
        <w:fldChar w:fldCharType="begin"/>
      </w:r>
      <w:r>
        <w:rPr>
          <w:rFonts w:hint="default" w:ascii="Times New Roman" w:hAnsi="Times New Roman" w:eastAsia="Times New Roman" w:cs="Times New Roman"/>
          <w:szCs w:val="24"/>
          <w:lang w:val="en-US" w:eastAsia="zh-CN" w:bidi="ar-SA"/>
        </w:rPr>
        <w:instrText xml:space="preserve"> HYPERLINK "https://www.researchgate.net/scientific-contributions/Ramin-Rezaee-75929898?_sg[0]=tQbaDeh8apbVO-jAAwAVjxtmiaRFMf5JwdgKA4N7u2iv_oOD4S45ITayFuQo-bbHM0qIlCQ.Svb7i21wkcxktpGNHhTsKVE50SGDEHNlsuI4l7c7VWRx8-V0y4jq269L1wB3LnwdXxdYeSz3wo_44HUJTA7mQA&amp;_sg[1]=56jgM-P65nG76UT7m1V2zgRpqhiNMiSUE9vuXjHoG93XJVFFn4zOpmGolY-WRsZARIqwJ5c.A6w362bhqGi0bQXu1alDPbJgFqtwexZxq4kWm9ODRWO_OiTInBCjuBrpUOZgsCoyOf0aOuw7KtiPDw1JZqHt8g&amp;_tp=eyJjb250ZXh0Ijp7ImZpcnN0UGFnZSI6InB1YmxpY2F0aW9uIiwicGFnZSI6InB1YmxpY2F0aW9uIiwicG9zaXRpb24iOiJwYWdlSGVhZGVyIn19" </w:instrText>
      </w:r>
      <w:r>
        <w:rPr>
          <w:rFonts w:hint="default" w:ascii="Times New Roman" w:hAnsi="Times New Roman" w:eastAsia="Times New Roman" w:cs="Times New Roman"/>
          <w:szCs w:val="24"/>
          <w:lang w:val="en-US" w:eastAsia="zh-CN" w:bidi="ar-SA"/>
        </w:rPr>
        <w:fldChar w:fldCharType="separate"/>
      </w:r>
      <w:r>
        <w:rPr>
          <w:rFonts w:hint="default" w:ascii="Times New Roman" w:hAnsi="Times New Roman" w:eastAsia="Times New Roman" w:cs="Times New Roman"/>
          <w:szCs w:val="24"/>
          <w:lang w:val="en-US" w:eastAsia="zh-CN" w:bidi="ar-SA"/>
        </w:rPr>
        <w:t>R. Rezaee</w:t>
      </w:r>
      <w:r>
        <w:rPr>
          <w:rFonts w:hint="default" w:ascii="Times New Roman" w:hAnsi="Times New Roman" w:eastAsia="Times New Roman" w:cs="Times New Roman"/>
          <w:szCs w:val="24"/>
          <w:lang w:val="en-US" w:eastAsia="zh-CN" w:bidi="ar-SA"/>
        </w:rPr>
        <w:fldChar w:fldCharType="end"/>
      </w:r>
      <w:r>
        <w:rPr>
          <w:rFonts w:hint="default" w:ascii="Times New Roman" w:hAnsi="Times New Roman" w:eastAsia="Times New Roman" w:cs="Times New Roman"/>
          <w:szCs w:val="24"/>
          <w:lang w:val="en-US" w:eastAsia="zh-CN" w:bidi="ar-SA"/>
        </w:rPr>
        <w:t>, “Anticancer and apoptosis</w:t>
      </w:r>
      <w:r>
        <w:rPr>
          <w:rFonts w:hint="default" w:ascii="Times New Roman" w:hAnsi="Times New Roman" w:eastAsia="Times New Roman" w:cs="Times New Roman"/>
          <w:szCs w:val="24"/>
          <w:lang w:val="en-US" w:eastAsia="zh-CN" w:bidi="ar-SA"/>
        </w:rPr>
        <w:noBreakHyphen/>
      </w:r>
      <w:r>
        <w:rPr>
          <w:rFonts w:hint="default" w:ascii="Times New Roman" w:hAnsi="Times New Roman" w:eastAsia="Times New Roman" w:cs="Times New Roman"/>
          <w:szCs w:val="24"/>
          <w:lang w:val="en-US" w:eastAsia="zh-CN" w:bidi="ar-SA"/>
        </w:rPr>
        <w:t xml:space="preserve">inducing effects of quercetin </w:t>
      </w:r>
      <w:r>
        <w:rPr>
          <w:rFonts w:hint="default" w:ascii="Times New Roman" w:hAnsi="Times New Roman" w:eastAsia="Times New Roman" w:cs="Times New Roman"/>
          <w:i/>
          <w:iCs/>
          <w:szCs w:val="24"/>
          <w:lang w:val="en-US" w:eastAsia="zh-CN" w:bidi="ar-SA"/>
        </w:rPr>
        <w:t>in vitro</w:t>
      </w:r>
      <w:r>
        <w:rPr>
          <w:rFonts w:hint="default" w:ascii="Times New Roman" w:hAnsi="Times New Roman" w:eastAsia="Times New Roman" w:cs="Times New Roman"/>
          <w:szCs w:val="24"/>
          <w:lang w:val="en-US" w:eastAsia="zh-CN" w:bidi="ar-SA"/>
        </w:rPr>
        <w:t xml:space="preserve"> and </w:t>
      </w:r>
      <w:r>
        <w:rPr>
          <w:rFonts w:hint="default" w:ascii="Times New Roman" w:hAnsi="Times New Roman" w:eastAsia="Times New Roman" w:cs="Times New Roman"/>
          <w:i/>
          <w:iCs/>
          <w:szCs w:val="24"/>
          <w:lang w:val="en-US" w:eastAsia="zh-CN" w:bidi="ar-SA"/>
        </w:rPr>
        <w:t>in vivo</w:t>
      </w:r>
      <w:r>
        <w:rPr>
          <w:rFonts w:hint="default" w:cs="Times New Roman"/>
          <w:szCs w:val="24"/>
          <w:lang w:val="en-US" w:eastAsia="zh-CN" w:bidi="ar-SA"/>
        </w:rPr>
        <w:t>,</w:t>
      </w:r>
      <w:r>
        <w:rPr>
          <w:rStyle w:val="19"/>
          <w:rFonts w:hint="default" w:ascii="Times New Roman" w:hAnsi="Times New Roman" w:eastAsia="Times New Roman" w:cs="Times New Roman"/>
          <w:szCs w:val="24"/>
          <w:lang w:val="en-US" w:eastAsia="zh-CN" w:bidi="ar-SA"/>
        </w:rPr>
        <w:t>”</w:t>
      </w:r>
      <w:r>
        <w:rPr>
          <w:rFonts w:hint="default" w:cs="Times New Roman"/>
          <w:szCs w:val="24"/>
          <w:lang w:val="en-US" w:eastAsia="zh-CN" w:bidi="ar-SA"/>
        </w:rPr>
        <w:t xml:space="preserve"> </w:t>
      </w:r>
      <w:r>
        <w:rPr>
          <w:rFonts w:hint="default" w:cs="Times New Roman"/>
          <w:i/>
          <w:iCs/>
          <w:szCs w:val="24"/>
          <w:lang w:val="en-US" w:eastAsia="zh-CN" w:bidi="ar-SA"/>
        </w:rPr>
        <w:t>Oncology Reports,</w:t>
      </w:r>
      <w:r>
        <w:rPr>
          <w:rFonts w:hint="default" w:cs="Times New Roman"/>
          <w:szCs w:val="24"/>
          <w:lang w:val="en-US" w:eastAsia="zh-CN" w:bidi="ar-SA"/>
        </w:rPr>
        <w:t xml:space="preserve"> no. 38, no. 2, 2017, doi</w:t>
      </w:r>
      <w:r>
        <w:rPr>
          <w:rFonts w:hint="default"/>
          <w:szCs w:val="24"/>
          <w:lang w:val="en-US" w:eastAsia="zh-CN"/>
        </w:rPr>
        <w:t>: http://dx.doi.org/10.3892/or.2017.5766</w:t>
      </w:r>
    </w:p>
    <w:p w14:paraId="5A4C66A3">
      <w:pPr>
        <w:keepNext w:val="0"/>
        <w:keepLines w:val="0"/>
        <w:widowControl/>
        <w:suppressLineNumbers w:val="0"/>
        <w:ind w:left="700" w:hanging="700" w:hangingChars="350"/>
        <w:jc w:val="both"/>
        <w:rPr>
          <w:rFonts w:hint="default" w:ascii="Times New Roman" w:hAnsi="Times New Roman" w:eastAsia="Times New Roman"/>
          <w:szCs w:val="24"/>
          <w:lang w:val="en-US" w:eastAsia="zh-CN"/>
        </w:rPr>
      </w:pPr>
    </w:p>
    <w:p w14:paraId="3D086E7E">
      <w:pPr>
        <w:ind w:left="756" w:leftChars="28" w:hanging="700" w:hangingChars="350"/>
        <w:jc w:val="both"/>
        <w:rPr>
          <w:rFonts w:hint="default" w:ascii="Times New Roman" w:hAnsi="Times New Roman" w:eastAsia="Times New Roman" w:cs="Times New Roman"/>
          <w:szCs w:val="24"/>
          <w:lang w:val="en-US" w:eastAsia="zh-CN" w:bidi="ar-SA"/>
        </w:rPr>
      </w:pPr>
    </w:p>
    <w:sectPr>
      <w:headerReference r:id="rId4" w:type="first"/>
      <w:footerReference r:id="rId6" w:type="first"/>
      <w:headerReference r:id="rId3" w:type="even"/>
      <w:footerReference r:id="rId5" w:type="even"/>
      <w:pgSz w:w="11910" w:h="16840"/>
      <w:pgMar w:top="2268" w:right="1418" w:bottom="1531"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95407">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DC2F1">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91A73">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C39B1">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5D0C07"/>
    <w:multiLevelType w:val="multilevel"/>
    <w:tmpl w:val="3C5D0C07"/>
    <w:lvl w:ilvl="0" w:tentative="0">
      <w:start w:val="1"/>
      <w:numFmt w:val="decimal"/>
      <w:pStyle w:val="29"/>
      <w:lvlText w:val="(%1)"/>
      <w:lvlJc w:val="right"/>
      <w:pPr>
        <w:ind w:left="720" w:hanging="153"/>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4DE220E1"/>
    <w:multiLevelType w:val="multilevel"/>
    <w:tmpl w:val="4DE220E1"/>
    <w:lvl w:ilvl="0" w:tentative="0">
      <w:start w:val="1"/>
      <w:numFmt w:val="decimal"/>
      <w:pStyle w:val="37"/>
      <w:lvlText w:val="[%1]"/>
      <w:lvlJc w:val="left"/>
      <w:pPr>
        <w:ind w:left="389" w:hanging="332"/>
      </w:pPr>
      <w:rPr>
        <w:rFonts w:hint="default" w:ascii="Times New Roman" w:hAnsi="Times New Roman" w:eastAsia="Times New Roman" w:cs="Times New Roman"/>
        <w:b w:val="0"/>
        <w:bCs w:val="0"/>
        <w:i w:val="0"/>
        <w:iCs w:val="0"/>
        <w:spacing w:val="0"/>
        <w:w w:val="99"/>
        <w:sz w:val="20"/>
        <w:szCs w:val="20"/>
        <w:lang w:val="en-US" w:eastAsia="en-US" w:bidi="ar-SA"/>
      </w:rPr>
    </w:lvl>
    <w:lvl w:ilvl="1" w:tentative="0">
      <w:start w:val="0"/>
      <w:numFmt w:val="bullet"/>
      <w:lvlText w:val="•"/>
      <w:lvlJc w:val="left"/>
      <w:pPr>
        <w:ind w:left="1291" w:hanging="332"/>
      </w:pPr>
      <w:rPr>
        <w:rFonts w:hint="default"/>
        <w:lang w:val="en-US" w:eastAsia="en-US" w:bidi="ar-SA"/>
      </w:rPr>
    </w:lvl>
    <w:lvl w:ilvl="2" w:tentative="0">
      <w:start w:val="0"/>
      <w:numFmt w:val="bullet"/>
      <w:lvlText w:val="•"/>
      <w:lvlJc w:val="left"/>
      <w:pPr>
        <w:ind w:left="2203" w:hanging="332"/>
      </w:pPr>
      <w:rPr>
        <w:rFonts w:hint="default"/>
        <w:lang w:val="en-US" w:eastAsia="en-US" w:bidi="ar-SA"/>
      </w:rPr>
    </w:lvl>
    <w:lvl w:ilvl="3" w:tentative="0">
      <w:start w:val="0"/>
      <w:numFmt w:val="bullet"/>
      <w:lvlText w:val="•"/>
      <w:lvlJc w:val="left"/>
      <w:pPr>
        <w:ind w:left="3115" w:hanging="332"/>
      </w:pPr>
      <w:rPr>
        <w:rFonts w:hint="default"/>
        <w:lang w:val="en-US" w:eastAsia="en-US" w:bidi="ar-SA"/>
      </w:rPr>
    </w:lvl>
    <w:lvl w:ilvl="4" w:tentative="0">
      <w:start w:val="0"/>
      <w:numFmt w:val="bullet"/>
      <w:lvlText w:val="•"/>
      <w:lvlJc w:val="left"/>
      <w:pPr>
        <w:ind w:left="4027" w:hanging="332"/>
      </w:pPr>
      <w:rPr>
        <w:rFonts w:hint="default"/>
        <w:lang w:val="en-US" w:eastAsia="en-US" w:bidi="ar-SA"/>
      </w:rPr>
    </w:lvl>
    <w:lvl w:ilvl="5" w:tentative="0">
      <w:start w:val="0"/>
      <w:numFmt w:val="bullet"/>
      <w:lvlText w:val="•"/>
      <w:lvlJc w:val="left"/>
      <w:pPr>
        <w:ind w:left="4938" w:hanging="332"/>
      </w:pPr>
      <w:rPr>
        <w:rFonts w:hint="default"/>
        <w:lang w:val="en-US" w:eastAsia="en-US" w:bidi="ar-SA"/>
      </w:rPr>
    </w:lvl>
    <w:lvl w:ilvl="6" w:tentative="0">
      <w:start w:val="0"/>
      <w:numFmt w:val="bullet"/>
      <w:lvlText w:val="•"/>
      <w:lvlJc w:val="left"/>
      <w:pPr>
        <w:ind w:left="5850" w:hanging="332"/>
      </w:pPr>
      <w:rPr>
        <w:rFonts w:hint="default"/>
        <w:lang w:val="en-US" w:eastAsia="en-US" w:bidi="ar-SA"/>
      </w:rPr>
    </w:lvl>
    <w:lvl w:ilvl="7" w:tentative="0">
      <w:start w:val="0"/>
      <w:numFmt w:val="bullet"/>
      <w:lvlText w:val="•"/>
      <w:lvlJc w:val="left"/>
      <w:pPr>
        <w:ind w:left="6762" w:hanging="332"/>
      </w:pPr>
      <w:rPr>
        <w:rFonts w:hint="default"/>
        <w:lang w:val="en-US" w:eastAsia="en-US" w:bidi="ar-SA"/>
      </w:rPr>
    </w:lvl>
    <w:lvl w:ilvl="8" w:tentative="0">
      <w:start w:val="0"/>
      <w:numFmt w:val="bullet"/>
      <w:lvlText w:val="•"/>
      <w:lvlJc w:val="left"/>
      <w:pPr>
        <w:ind w:left="7674" w:hanging="332"/>
      </w:pPr>
      <w:rPr>
        <w:rFonts w:hint="default"/>
        <w:lang w:val="en-US" w:eastAsia="en-US" w:bidi="ar-SA"/>
      </w:rPr>
    </w:lvl>
  </w:abstractNum>
  <w:abstractNum w:abstractNumId="2">
    <w:nsid w:val="56A11FAA"/>
    <w:multiLevelType w:val="multilevel"/>
    <w:tmpl w:val="56A11FAA"/>
    <w:lvl w:ilvl="0" w:tentative="0">
      <w:start w:val="1"/>
      <w:numFmt w:val="decimal"/>
      <w:pStyle w:val="2"/>
      <w:lvlText w:val="%1"/>
      <w:lvlJc w:val="left"/>
      <w:pPr>
        <w:ind w:left="356" w:hanging="299"/>
      </w:pPr>
      <w:rPr>
        <w:rFonts w:hint="default" w:ascii="Times New Roman" w:hAnsi="Times New Roman" w:eastAsia="Times New Roman" w:cs="Times New Roman"/>
        <w:b/>
        <w:bCs/>
        <w:i w:val="0"/>
        <w:iCs w:val="0"/>
        <w:spacing w:val="0"/>
        <w:w w:val="99"/>
        <w:sz w:val="20"/>
        <w:szCs w:val="20"/>
        <w:lang w:val="en-US" w:eastAsia="en-US" w:bidi="ar-SA"/>
      </w:rPr>
    </w:lvl>
    <w:lvl w:ilvl="1" w:tentative="0">
      <w:start w:val="1"/>
      <w:numFmt w:val="decimal"/>
      <w:pStyle w:val="6"/>
      <w:lvlText w:val="%1.%2"/>
      <w:lvlJc w:val="left"/>
      <w:pPr>
        <w:ind w:left="505" w:hanging="449"/>
      </w:pPr>
      <w:rPr>
        <w:rFonts w:hint="default" w:ascii="Times New Roman" w:hAnsi="Times New Roman" w:eastAsia="Times New Roman" w:cs="Times New Roman"/>
        <w:b w:val="0"/>
        <w:bCs w:val="0"/>
        <w:i/>
        <w:iCs/>
        <w:spacing w:val="0"/>
        <w:w w:val="99"/>
        <w:sz w:val="20"/>
        <w:szCs w:val="20"/>
        <w:lang w:val="en-US" w:eastAsia="en-US" w:bidi="ar-SA"/>
      </w:rPr>
    </w:lvl>
    <w:lvl w:ilvl="2" w:tentative="0">
      <w:start w:val="1"/>
      <w:numFmt w:val="decimal"/>
      <w:pStyle w:val="7"/>
      <w:lvlText w:val="%1.%2.%3"/>
      <w:lvlJc w:val="left"/>
      <w:pPr>
        <w:ind w:left="57" w:hanging="598"/>
      </w:pPr>
      <w:rPr>
        <w:rFonts w:hint="default" w:ascii="Times New Roman" w:hAnsi="Times New Roman" w:eastAsia="Times New Roman" w:cs="Times New Roman"/>
        <w:b w:val="0"/>
        <w:bCs w:val="0"/>
        <w:i/>
        <w:iCs/>
        <w:spacing w:val="0"/>
        <w:w w:val="99"/>
        <w:sz w:val="20"/>
        <w:szCs w:val="20"/>
        <w:lang w:val="en-US" w:eastAsia="en-US" w:bidi="ar-SA"/>
      </w:rPr>
    </w:lvl>
    <w:lvl w:ilvl="3" w:tentative="0">
      <w:start w:val="0"/>
      <w:numFmt w:val="bullet"/>
      <w:lvlText w:val="•"/>
      <w:lvlJc w:val="left"/>
      <w:pPr>
        <w:ind w:left="1624" w:hanging="598"/>
      </w:pPr>
      <w:rPr>
        <w:rFonts w:hint="default"/>
        <w:lang w:val="en-US" w:eastAsia="en-US" w:bidi="ar-SA"/>
      </w:rPr>
    </w:lvl>
    <w:lvl w:ilvl="4" w:tentative="0">
      <w:start w:val="0"/>
      <w:numFmt w:val="bullet"/>
      <w:lvlText w:val="•"/>
      <w:lvlJc w:val="left"/>
      <w:pPr>
        <w:ind w:left="2749" w:hanging="598"/>
      </w:pPr>
      <w:rPr>
        <w:rFonts w:hint="default"/>
        <w:lang w:val="en-US" w:eastAsia="en-US" w:bidi="ar-SA"/>
      </w:rPr>
    </w:lvl>
    <w:lvl w:ilvl="5" w:tentative="0">
      <w:start w:val="0"/>
      <w:numFmt w:val="bullet"/>
      <w:lvlText w:val="•"/>
      <w:lvlJc w:val="left"/>
      <w:pPr>
        <w:ind w:left="3874" w:hanging="598"/>
      </w:pPr>
      <w:rPr>
        <w:rFonts w:hint="default"/>
        <w:lang w:val="en-US" w:eastAsia="en-US" w:bidi="ar-SA"/>
      </w:rPr>
    </w:lvl>
    <w:lvl w:ilvl="6" w:tentative="0">
      <w:start w:val="0"/>
      <w:numFmt w:val="bullet"/>
      <w:lvlText w:val="•"/>
      <w:lvlJc w:val="left"/>
      <w:pPr>
        <w:ind w:left="4998" w:hanging="598"/>
      </w:pPr>
      <w:rPr>
        <w:rFonts w:hint="default"/>
        <w:lang w:val="en-US" w:eastAsia="en-US" w:bidi="ar-SA"/>
      </w:rPr>
    </w:lvl>
    <w:lvl w:ilvl="7" w:tentative="0">
      <w:start w:val="0"/>
      <w:numFmt w:val="bullet"/>
      <w:lvlText w:val="•"/>
      <w:lvlJc w:val="left"/>
      <w:pPr>
        <w:ind w:left="6123" w:hanging="598"/>
      </w:pPr>
      <w:rPr>
        <w:rFonts w:hint="default"/>
        <w:lang w:val="en-US" w:eastAsia="en-US" w:bidi="ar-SA"/>
      </w:rPr>
    </w:lvl>
    <w:lvl w:ilvl="8" w:tentative="0">
      <w:start w:val="0"/>
      <w:numFmt w:val="bullet"/>
      <w:lvlText w:val="•"/>
      <w:lvlJc w:val="left"/>
      <w:pPr>
        <w:ind w:left="7248" w:hanging="598"/>
      </w:pPr>
      <w:rPr>
        <w:rFonts w:hint="default"/>
        <w:lang w:val="en-US" w:eastAsia="en-US" w:bidi="ar-SA"/>
      </w:rPr>
    </w:lvl>
  </w:abstractNum>
  <w:abstractNum w:abstractNumId="3">
    <w:nsid w:val="5BD96BF8"/>
    <w:multiLevelType w:val="multilevel"/>
    <w:tmpl w:val="5BD96BF8"/>
    <w:lvl w:ilvl="0" w:tentative="0">
      <w:start w:val="1"/>
      <w:numFmt w:val="bullet"/>
      <w:pStyle w:val="40"/>
      <w:lvlText w:val=""/>
      <w:lvlJc w:val="left"/>
      <w:pPr>
        <w:ind w:left="624" w:hanging="264"/>
      </w:pPr>
      <w:rPr>
        <w:rFonts w:hint="default" w:ascii="Symbol" w:hAnsi="Symbol"/>
      </w:rPr>
    </w:lvl>
    <w:lvl w:ilvl="1" w:tentative="0">
      <w:start w:val="1"/>
      <w:numFmt w:val="bullet"/>
      <w:lvlText w:val="o"/>
      <w:lvlJc w:val="left"/>
      <w:pPr>
        <w:ind w:left="1440" w:hanging="360"/>
      </w:pPr>
      <w:rPr>
        <w:rFonts w:hint="default" w:ascii="Courier New" w:hAnsi="Courier New" w:cs="Aria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Arial"/>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Arial"/>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attachedTemplate r:id="rId1"/>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xdr5sv9xpvwpeav0pvpx23wxxr2a2eztfp&quot;&gt;References-Converted&lt;record-ids&gt;&lt;item&gt;491&lt;/item&gt;&lt;item&gt;1211&lt;/item&gt;&lt;item&gt;1309&lt;/item&gt;&lt;item&gt;2493&lt;/item&gt;&lt;item&gt;2494&lt;/item&gt;&lt;/record-ids&gt;&lt;/item&gt;&lt;/Libraries&gt;"/>
    <w:docVar w:name="EN.UseJSCitationFormat" w:val="False"/>
  </w:docVars>
  <w:rsids>
    <w:rsidRoot w:val="69720B7E"/>
    <w:rsid w:val="00001899"/>
    <w:rsid w:val="0000265B"/>
    <w:rsid w:val="000049AD"/>
    <w:rsid w:val="0000681B"/>
    <w:rsid w:val="000133C0"/>
    <w:rsid w:val="00014C4E"/>
    <w:rsid w:val="00017107"/>
    <w:rsid w:val="000202E2"/>
    <w:rsid w:val="00022441"/>
    <w:rsid w:val="0002261E"/>
    <w:rsid w:val="00024839"/>
    <w:rsid w:val="00026871"/>
    <w:rsid w:val="0003523F"/>
    <w:rsid w:val="00037A98"/>
    <w:rsid w:val="00037FF7"/>
    <w:rsid w:val="000427FB"/>
    <w:rsid w:val="0004455E"/>
    <w:rsid w:val="00047C3E"/>
    <w:rsid w:val="00047CB5"/>
    <w:rsid w:val="00051FAA"/>
    <w:rsid w:val="00052843"/>
    <w:rsid w:val="000572A9"/>
    <w:rsid w:val="00061325"/>
    <w:rsid w:val="000733AC"/>
    <w:rsid w:val="00074B81"/>
    <w:rsid w:val="00074D22"/>
    <w:rsid w:val="00075081"/>
    <w:rsid w:val="0007528A"/>
    <w:rsid w:val="000811AB"/>
    <w:rsid w:val="00083C5F"/>
    <w:rsid w:val="0009172C"/>
    <w:rsid w:val="000930EC"/>
    <w:rsid w:val="00095E61"/>
    <w:rsid w:val="000966C1"/>
    <w:rsid w:val="000970AC"/>
    <w:rsid w:val="000A1167"/>
    <w:rsid w:val="000A4428"/>
    <w:rsid w:val="000A6D40"/>
    <w:rsid w:val="000A7BC3"/>
    <w:rsid w:val="000B1661"/>
    <w:rsid w:val="000B1F0B"/>
    <w:rsid w:val="000B2E88"/>
    <w:rsid w:val="000B41D3"/>
    <w:rsid w:val="000B4603"/>
    <w:rsid w:val="000C09BE"/>
    <w:rsid w:val="000C1380"/>
    <w:rsid w:val="000C554F"/>
    <w:rsid w:val="000D0DC5"/>
    <w:rsid w:val="000D15FF"/>
    <w:rsid w:val="000D28DF"/>
    <w:rsid w:val="000D488B"/>
    <w:rsid w:val="000D68DF"/>
    <w:rsid w:val="000D74E9"/>
    <w:rsid w:val="000E036F"/>
    <w:rsid w:val="000E138D"/>
    <w:rsid w:val="000E187A"/>
    <w:rsid w:val="000E2D61"/>
    <w:rsid w:val="000E450E"/>
    <w:rsid w:val="000E6259"/>
    <w:rsid w:val="000F4677"/>
    <w:rsid w:val="000F5BE0"/>
    <w:rsid w:val="00100587"/>
    <w:rsid w:val="0010284E"/>
    <w:rsid w:val="00103122"/>
    <w:rsid w:val="0010336A"/>
    <w:rsid w:val="001050F1"/>
    <w:rsid w:val="00105AEA"/>
    <w:rsid w:val="00106DAF"/>
    <w:rsid w:val="00114ABE"/>
    <w:rsid w:val="00116023"/>
    <w:rsid w:val="001330A5"/>
    <w:rsid w:val="00134A51"/>
    <w:rsid w:val="00140727"/>
    <w:rsid w:val="001549E9"/>
    <w:rsid w:val="00160628"/>
    <w:rsid w:val="00161344"/>
    <w:rsid w:val="00162195"/>
    <w:rsid w:val="0016322A"/>
    <w:rsid w:val="00165A21"/>
    <w:rsid w:val="00166F9D"/>
    <w:rsid w:val="001705CE"/>
    <w:rsid w:val="00174153"/>
    <w:rsid w:val="0017714B"/>
    <w:rsid w:val="001804DF"/>
    <w:rsid w:val="00181BDC"/>
    <w:rsid w:val="00181DB0"/>
    <w:rsid w:val="001820A3"/>
    <w:rsid w:val="001829E3"/>
    <w:rsid w:val="001924C0"/>
    <w:rsid w:val="00196B08"/>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3A90"/>
    <w:rsid w:val="001C5736"/>
    <w:rsid w:val="001D2EC9"/>
    <w:rsid w:val="001D647F"/>
    <w:rsid w:val="001D6857"/>
    <w:rsid w:val="001E0572"/>
    <w:rsid w:val="001E0A67"/>
    <w:rsid w:val="001E1028"/>
    <w:rsid w:val="001E14E2"/>
    <w:rsid w:val="001E6302"/>
    <w:rsid w:val="001E7DCB"/>
    <w:rsid w:val="001F0599"/>
    <w:rsid w:val="001F3411"/>
    <w:rsid w:val="001F3B41"/>
    <w:rsid w:val="001F4287"/>
    <w:rsid w:val="001F4DBA"/>
    <w:rsid w:val="002003FB"/>
    <w:rsid w:val="0020415E"/>
    <w:rsid w:val="00204FF4"/>
    <w:rsid w:val="0021056E"/>
    <w:rsid w:val="0021075D"/>
    <w:rsid w:val="0021165A"/>
    <w:rsid w:val="00211BC9"/>
    <w:rsid w:val="002146F0"/>
    <w:rsid w:val="0021620C"/>
    <w:rsid w:val="00216E78"/>
    <w:rsid w:val="00217275"/>
    <w:rsid w:val="002211DD"/>
    <w:rsid w:val="002228DC"/>
    <w:rsid w:val="002343E0"/>
    <w:rsid w:val="00236F4B"/>
    <w:rsid w:val="00242B0D"/>
    <w:rsid w:val="002467C6"/>
    <w:rsid w:val="0024692A"/>
    <w:rsid w:val="00252BBA"/>
    <w:rsid w:val="00253123"/>
    <w:rsid w:val="00264001"/>
    <w:rsid w:val="00266354"/>
    <w:rsid w:val="00267575"/>
    <w:rsid w:val="00267A18"/>
    <w:rsid w:val="00267B72"/>
    <w:rsid w:val="00273462"/>
    <w:rsid w:val="0027395B"/>
    <w:rsid w:val="00275854"/>
    <w:rsid w:val="00283B41"/>
    <w:rsid w:val="00285F28"/>
    <w:rsid w:val="00286398"/>
    <w:rsid w:val="00286586"/>
    <w:rsid w:val="002A3C42"/>
    <w:rsid w:val="002A5D75"/>
    <w:rsid w:val="002B1958"/>
    <w:rsid w:val="002B1B1A"/>
    <w:rsid w:val="002B2DCA"/>
    <w:rsid w:val="002B7228"/>
    <w:rsid w:val="002C53EE"/>
    <w:rsid w:val="002D24F7"/>
    <w:rsid w:val="002D2799"/>
    <w:rsid w:val="002D2CD7"/>
    <w:rsid w:val="002D4DDC"/>
    <w:rsid w:val="002D4F75"/>
    <w:rsid w:val="002D6493"/>
    <w:rsid w:val="002D7AB6"/>
    <w:rsid w:val="002E06D0"/>
    <w:rsid w:val="002E3C27"/>
    <w:rsid w:val="002E403A"/>
    <w:rsid w:val="002E7F3A"/>
    <w:rsid w:val="002F4EDB"/>
    <w:rsid w:val="002F6054"/>
    <w:rsid w:val="00301DFD"/>
    <w:rsid w:val="003025B4"/>
    <w:rsid w:val="00310E13"/>
    <w:rsid w:val="003111AA"/>
    <w:rsid w:val="00312EEB"/>
    <w:rsid w:val="00315713"/>
    <w:rsid w:val="0031686C"/>
    <w:rsid w:val="00316FE0"/>
    <w:rsid w:val="003204D2"/>
    <w:rsid w:val="00320BC7"/>
    <w:rsid w:val="0032605E"/>
    <w:rsid w:val="003275D1"/>
    <w:rsid w:val="00330B2A"/>
    <w:rsid w:val="00331E17"/>
    <w:rsid w:val="00333063"/>
    <w:rsid w:val="003337E3"/>
    <w:rsid w:val="003408E3"/>
    <w:rsid w:val="00343480"/>
    <w:rsid w:val="00345813"/>
    <w:rsid w:val="00345E89"/>
    <w:rsid w:val="003522A1"/>
    <w:rsid w:val="0035254B"/>
    <w:rsid w:val="00353555"/>
    <w:rsid w:val="003565D4"/>
    <w:rsid w:val="003607FB"/>
    <w:rsid w:val="00360FD5"/>
    <w:rsid w:val="0036340D"/>
    <w:rsid w:val="003634A5"/>
    <w:rsid w:val="00363ED6"/>
    <w:rsid w:val="003654D7"/>
    <w:rsid w:val="00366868"/>
    <w:rsid w:val="00367506"/>
    <w:rsid w:val="00370085"/>
    <w:rsid w:val="003744A7"/>
    <w:rsid w:val="00376235"/>
    <w:rsid w:val="0037676D"/>
    <w:rsid w:val="00381FB6"/>
    <w:rsid w:val="003836D3"/>
    <w:rsid w:val="00383A52"/>
    <w:rsid w:val="0038525C"/>
    <w:rsid w:val="00391652"/>
    <w:rsid w:val="0039507F"/>
    <w:rsid w:val="003A1260"/>
    <w:rsid w:val="003A295F"/>
    <w:rsid w:val="003A41DD"/>
    <w:rsid w:val="003A7033"/>
    <w:rsid w:val="003B47FE"/>
    <w:rsid w:val="003B505B"/>
    <w:rsid w:val="003B5673"/>
    <w:rsid w:val="003B6287"/>
    <w:rsid w:val="003B62C9"/>
    <w:rsid w:val="003C4901"/>
    <w:rsid w:val="003C7176"/>
    <w:rsid w:val="003D0929"/>
    <w:rsid w:val="003D4729"/>
    <w:rsid w:val="003D7DD6"/>
    <w:rsid w:val="003E5AAF"/>
    <w:rsid w:val="003E600D"/>
    <w:rsid w:val="003E64DF"/>
    <w:rsid w:val="003E6A5D"/>
    <w:rsid w:val="003F193A"/>
    <w:rsid w:val="003F4207"/>
    <w:rsid w:val="003F5C46"/>
    <w:rsid w:val="003F6539"/>
    <w:rsid w:val="003F7CBB"/>
    <w:rsid w:val="003F7D34"/>
    <w:rsid w:val="00412C8E"/>
    <w:rsid w:val="0041518D"/>
    <w:rsid w:val="0042221D"/>
    <w:rsid w:val="00424DD3"/>
    <w:rsid w:val="00424F3F"/>
    <w:rsid w:val="004269C5"/>
    <w:rsid w:val="00435939"/>
    <w:rsid w:val="00436E7C"/>
    <w:rsid w:val="00437CC7"/>
    <w:rsid w:val="00442B9C"/>
    <w:rsid w:val="00445EFA"/>
    <w:rsid w:val="00446869"/>
    <w:rsid w:val="0044738A"/>
    <w:rsid w:val="004473D3"/>
    <w:rsid w:val="00452231"/>
    <w:rsid w:val="00460C13"/>
    <w:rsid w:val="00463228"/>
    <w:rsid w:val="00463782"/>
    <w:rsid w:val="004659DF"/>
    <w:rsid w:val="004667E0"/>
    <w:rsid w:val="0046760E"/>
    <w:rsid w:val="00470E10"/>
    <w:rsid w:val="00472C96"/>
    <w:rsid w:val="00477A97"/>
    <w:rsid w:val="00481343"/>
    <w:rsid w:val="0048549E"/>
    <w:rsid w:val="004930C6"/>
    <w:rsid w:val="00493347"/>
    <w:rsid w:val="00496092"/>
    <w:rsid w:val="00496F8F"/>
    <w:rsid w:val="004A08DB"/>
    <w:rsid w:val="004A25D0"/>
    <w:rsid w:val="004A37E8"/>
    <w:rsid w:val="004A7549"/>
    <w:rsid w:val="004B09D4"/>
    <w:rsid w:val="004B309D"/>
    <w:rsid w:val="004B330A"/>
    <w:rsid w:val="004B43A2"/>
    <w:rsid w:val="004B7C8E"/>
    <w:rsid w:val="004C2E60"/>
    <w:rsid w:val="004C3D3C"/>
    <w:rsid w:val="004C53D3"/>
    <w:rsid w:val="004D0EDC"/>
    <w:rsid w:val="004D1220"/>
    <w:rsid w:val="004D14B3"/>
    <w:rsid w:val="004D1529"/>
    <w:rsid w:val="004D2253"/>
    <w:rsid w:val="004D5514"/>
    <w:rsid w:val="004D56C3"/>
    <w:rsid w:val="004E0338"/>
    <w:rsid w:val="004E49A8"/>
    <w:rsid w:val="004E4FF3"/>
    <w:rsid w:val="004E56A8"/>
    <w:rsid w:val="004E795A"/>
    <w:rsid w:val="004F3B55"/>
    <w:rsid w:val="004F428E"/>
    <w:rsid w:val="004F4E46"/>
    <w:rsid w:val="004F6B7D"/>
    <w:rsid w:val="005015F6"/>
    <w:rsid w:val="005030C4"/>
    <w:rsid w:val="005031C5"/>
    <w:rsid w:val="00504FDC"/>
    <w:rsid w:val="005120CC"/>
    <w:rsid w:val="00512B7B"/>
    <w:rsid w:val="00514EA1"/>
    <w:rsid w:val="00516234"/>
    <w:rsid w:val="0051798B"/>
    <w:rsid w:val="0052065F"/>
    <w:rsid w:val="00521F5A"/>
    <w:rsid w:val="00525E06"/>
    <w:rsid w:val="00526454"/>
    <w:rsid w:val="00531823"/>
    <w:rsid w:val="00533273"/>
    <w:rsid w:val="00534ECC"/>
    <w:rsid w:val="0053720D"/>
    <w:rsid w:val="00540EF5"/>
    <w:rsid w:val="00541BF0"/>
    <w:rsid w:val="00541BF3"/>
    <w:rsid w:val="00541CD3"/>
    <w:rsid w:val="005476FA"/>
    <w:rsid w:val="00551C3F"/>
    <w:rsid w:val="005525F3"/>
    <w:rsid w:val="00553633"/>
    <w:rsid w:val="0055595E"/>
    <w:rsid w:val="00557988"/>
    <w:rsid w:val="005602FC"/>
    <w:rsid w:val="00560E30"/>
    <w:rsid w:val="00562C49"/>
    <w:rsid w:val="00562DEF"/>
    <w:rsid w:val="0056321A"/>
    <w:rsid w:val="0056391A"/>
    <w:rsid w:val="00563A35"/>
    <w:rsid w:val="00564A7C"/>
    <w:rsid w:val="00566596"/>
    <w:rsid w:val="00567728"/>
    <w:rsid w:val="005741E9"/>
    <w:rsid w:val="005748CF"/>
    <w:rsid w:val="00581680"/>
    <w:rsid w:val="00584270"/>
    <w:rsid w:val="00584738"/>
    <w:rsid w:val="005920B0"/>
    <w:rsid w:val="0059380D"/>
    <w:rsid w:val="00595A8F"/>
    <w:rsid w:val="005977C2"/>
    <w:rsid w:val="00597BF2"/>
    <w:rsid w:val="005A1F54"/>
    <w:rsid w:val="005A3020"/>
    <w:rsid w:val="005B134E"/>
    <w:rsid w:val="005B2039"/>
    <w:rsid w:val="005B344F"/>
    <w:rsid w:val="005B3FBA"/>
    <w:rsid w:val="005B4A1D"/>
    <w:rsid w:val="005B674D"/>
    <w:rsid w:val="005C056D"/>
    <w:rsid w:val="005C0CBE"/>
    <w:rsid w:val="005C1FCF"/>
    <w:rsid w:val="005C3F41"/>
    <w:rsid w:val="005D1885"/>
    <w:rsid w:val="005D4A38"/>
    <w:rsid w:val="005E1F20"/>
    <w:rsid w:val="005E2EEA"/>
    <w:rsid w:val="005E3708"/>
    <w:rsid w:val="005E3CCD"/>
    <w:rsid w:val="005E3D6B"/>
    <w:rsid w:val="005E5B55"/>
    <w:rsid w:val="005E5E4A"/>
    <w:rsid w:val="005E693D"/>
    <w:rsid w:val="005E75BF"/>
    <w:rsid w:val="005F57BA"/>
    <w:rsid w:val="005F61E6"/>
    <w:rsid w:val="005F6C45"/>
    <w:rsid w:val="005F7D83"/>
    <w:rsid w:val="006021E3"/>
    <w:rsid w:val="00605A69"/>
    <w:rsid w:val="00606C54"/>
    <w:rsid w:val="00614375"/>
    <w:rsid w:val="00614506"/>
    <w:rsid w:val="00615B0A"/>
    <w:rsid w:val="006168CF"/>
    <w:rsid w:val="0062011B"/>
    <w:rsid w:val="00622722"/>
    <w:rsid w:val="00626DE0"/>
    <w:rsid w:val="00630901"/>
    <w:rsid w:val="00631F8E"/>
    <w:rsid w:val="00636EE9"/>
    <w:rsid w:val="00640950"/>
    <w:rsid w:val="00641AE7"/>
    <w:rsid w:val="00642629"/>
    <w:rsid w:val="0064782B"/>
    <w:rsid w:val="00652929"/>
    <w:rsid w:val="0065293D"/>
    <w:rsid w:val="00653EFC"/>
    <w:rsid w:val="00654021"/>
    <w:rsid w:val="00656A55"/>
    <w:rsid w:val="00661045"/>
    <w:rsid w:val="00661059"/>
    <w:rsid w:val="00666DA8"/>
    <w:rsid w:val="00667F1C"/>
    <w:rsid w:val="00671057"/>
    <w:rsid w:val="00675AAF"/>
    <w:rsid w:val="0068031A"/>
    <w:rsid w:val="00681B2F"/>
    <w:rsid w:val="00681B87"/>
    <w:rsid w:val="00682D9E"/>
    <w:rsid w:val="0068335F"/>
    <w:rsid w:val="00687217"/>
    <w:rsid w:val="00693302"/>
    <w:rsid w:val="0069570D"/>
    <w:rsid w:val="0069640B"/>
    <w:rsid w:val="006A1B83"/>
    <w:rsid w:val="006A21CD"/>
    <w:rsid w:val="006A5918"/>
    <w:rsid w:val="006B12C7"/>
    <w:rsid w:val="006B182B"/>
    <w:rsid w:val="006B21B2"/>
    <w:rsid w:val="006B2BFC"/>
    <w:rsid w:val="006B4A4A"/>
    <w:rsid w:val="006C19B2"/>
    <w:rsid w:val="006C4409"/>
    <w:rsid w:val="006C5BB8"/>
    <w:rsid w:val="006C6936"/>
    <w:rsid w:val="006C7B01"/>
    <w:rsid w:val="006D0FE8"/>
    <w:rsid w:val="006D4B2B"/>
    <w:rsid w:val="006D4F3C"/>
    <w:rsid w:val="006D5C66"/>
    <w:rsid w:val="006D7002"/>
    <w:rsid w:val="006E1B3C"/>
    <w:rsid w:val="006E23FB"/>
    <w:rsid w:val="006E325A"/>
    <w:rsid w:val="006E33EC"/>
    <w:rsid w:val="006E3802"/>
    <w:rsid w:val="006E66A5"/>
    <w:rsid w:val="006E6C02"/>
    <w:rsid w:val="006F231A"/>
    <w:rsid w:val="006F6B55"/>
    <w:rsid w:val="006F788D"/>
    <w:rsid w:val="006F78E1"/>
    <w:rsid w:val="00701072"/>
    <w:rsid w:val="00702054"/>
    <w:rsid w:val="007035A4"/>
    <w:rsid w:val="00711799"/>
    <w:rsid w:val="00712B78"/>
    <w:rsid w:val="0071393B"/>
    <w:rsid w:val="00713EE2"/>
    <w:rsid w:val="007177FC"/>
    <w:rsid w:val="00720C5E"/>
    <w:rsid w:val="00721701"/>
    <w:rsid w:val="00731835"/>
    <w:rsid w:val="007341F8"/>
    <w:rsid w:val="00734372"/>
    <w:rsid w:val="00734EB8"/>
    <w:rsid w:val="00735BC8"/>
    <w:rsid w:val="00735F8B"/>
    <w:rsid w:val="0074090B"/>
    <w:rsid w:val="00742D1F"/>
    <w:rsid w:val="00743EBA"/>
    <w:rsid w:val="00744C8E"/>
    <w:rsid w:val="0074707E"/>
    <w:rsid w:val="007516DC"/>
    <w:rsid w:val="00751754"/>
    <w:rsid w:val="00752E58"/>
    <w:rsid w:val="00754302"/>
    <w:rsid w:val="00754B80"/>
    <w:rsid w:val="00761918"/>
    <w:rsid w:val="00762F03"/>
    <w:rsid w:val="0076413B"/>
    <w:rsid w:val="007648AE"/>
    <w:rsid w:val="00764BF8"/>
    <w:rsid w:val="0076514D"/>
    <w:rsid w:val="0076624F"/>
    <w:rsid w:val="00770EC0"/>
    <w:rsid w:val="00773D59"/>
    <w:rsid w:val="007750CF"/>
    <w:rsid w:val="00781003"/>
    <w:rsid w:val="007836D9"/>
    <w:rsid w:val="00786CC7"/>
    <w:rsid w:val="007911FD"/>
    <w:rsid w:val="00793930"/>
    <w:rsid w:val="00793DD1"/>
    <w:rsid w:val="00794FEC"/>
    <w:rsid w:val="007A003E"/>
    <w:rsid w:val="007A1965"/>
    <w:rsid w:val="007A2ED1"/>
    <w:rsid w:val="007A4BE6"/>
    <w:rsid w:val="007B0DC6"/>
    <w:rsid w:val="007B1094"/>
    <w:rsid w:val="007B1762"/>
    <w:rsid w:val="007B3320"/>
    <w:rsid w:val="007C301F"/>
    <w:rsid w:val="007C4540"/>
    <w:rsid w:val="007C65AF"/>
    <w:rsid w:val="007D135D"/>
    <w:rsid w:val="007D54EB"/>
    <w:rsid w:val="007D730F"/>
    <w:rsid w:val="007D7CD8"/>
    <w:rsid w:val="007E3AA7"/>
    <w:rsid w:val="007F737D"/>
    <w:rsid w:val="007F748C"/>
    <w:rsid w:val="0080308E"/>
    <w:rsid w:val="00803A67"/>
    <w:rsid w:val="00805303"/>
    <w:rsid w:val="00806705"/>
    <w:rsid w:val="00806738"/>
    <w:rsid w:val="00812484"/>
    <w:rsid w:val="00820F7A"/>
    <w:rsid w:val="008216D5"/>
    <w:rsid w:val="008249CE"/>
    <w:rsid w:val="00824FF4"/>
    <w:rsid w:val="00825907"/>
    <w:rsid w:val="00830D7D"/>
    <w:rsid w:val="00831A50"/>
    <w:rsid w:val="00831B3C"/>
    <w:rsid w:val="00831C89"/>
    <w:rsid w:val="00832114"/>
    <w:rsid w:val="00834C46"/>
    <w:rsid w:val="0084093E"/>
    <w:rsid w:val="00841CE1"/>
    <w:rsid w:val="0084311D"/>
    <w:rsid w:val="0084408F"/>
    <w:rsid w:val="008473D8"/>
    <w:rsid w:val="008528DC"/>
    <w:rsid w:val="00852B8C"/>
    <w:rsid w:val="008544D2"/>
    <w:rsid w:val="00854981"/>
    <w:rsid w:val="00862D17"/>
    <w:rsid w:val="00864B2E"/>
    <w:rsid w:val="00865963"/>
    <w:rsid w:val="0087135C"/>
    <w:rsid w:val="00871C1D"/>
    <w:rsid w:val="008722E3"/>
    <w:rsid w:val="0087450E"/>
    <w:rsid w:val="00875A82"/>
    <w:rsid w:val="00876CA3"/>
    <w:rsid w:val="008772FE"/>
    <w:rsid w:val="008775F1"/>
    <w:rsid w:val="00881932"/>
    <w:rsid w:val="008821AE"/>
    <w:rsid w:val="00883D3A"/>
    <w:rsid w:val="008854F7"/>
    <w:rsid w:val="00885A9D"/>
    <w:rsid w:val="008929D2"/>
    <w:rsid w:val="00893636"/>
    <w:rsid w:val="00893B94"/>
    <w:rsid w:val="00896E9D"/>
    <w:rsid w:val="00896F11"/>
    <w:rsid w:val="008A1049"/>
    <w:rsid w:val="008A1C98"/>
    <w:rsid w:val="008A322D"/>
    <w:rsid w:val="008A4D72"/>
    <w:rsid w:val="008A6285"/>
    <w:rsid w:val="008A63B2"/>
    <w:rsid w:val="008B345D"/>
    <w:rsid w:val="008C1FC2"/>
    <w:rsid w:val="008C2980"/>
    <w:rsid w:val="008C4DD6"/>
    <w:rsid w:val="008C58D3"/>
    <w:rsid w:val="008C5AFB"/>
    <w:rsid w:val="008D07FB"/>
    <w:rsid w:val="008D0C02"/>
    <w:rsid w:val="008D1170"/>
    <w:rsid w:val="008D357D"/>
    <w:rsid w:val="008D435A"/>
    <w:rsid w:val="008D6035"/>
    <w:rsid w:val="008E387B"/>
    <w:rsid w:val="008E4932"/>
    <w:rsid w:val="008E5811"/>
    <w:rsid w:val="008E6087"/>
    <w:rsid w:val="008E758D"/>
    <w:rsid w:val="008F10A7"/>
    <w:rsid w:val="008F2BAA"/>
    <w:rsid w:val="008F755D"/>
    <w:rsid w:val="008F7A39"/>
    <w:rsid w:val="009021E8"/>
    <w:rsid w:val="00904677"/>
    <w:rsid w:val="00904F93"/>
    <w:rsid w:val="00905EE2"/>
    <w:rsid w:val="00910C55"/>
    <w:rsid w:val="00911440"/>
    <w:rsid w:val="00911712"/>
    <w:rsid w:val="00911B27"/>
    <w:rsid w:val="009170BE"/>
    <w:rsid w:val="00920B55"/>
    <w:rsid w:val="0092247A"/>
    <w:rsid w:val="00924080"/>
    <w:rsid w:val="009262C9"/>
    <w:rsid w:val="00930EB9"/>
    <w:rsid w:val="00931662"/>
    <w:rsid w:val="00933DC7"/>
    <w:rsid w:val="00935AAB"/>
    <w:rsid w:val="00936DB2"/>
    <w:rsid w:val="009418F4"/>
    <w:rsid w:val="00942BBC"/>
    <w:rsid w:val="00944180"/>
    <w:rsid w:val="00944AA0"/>
    <w:rsid w:val="00947DA2"/>
    <w:rsid w:val="00951177"/>
    <w:rsid w:val="009673E8"/>
    <w:rsid w:val="00974DB8"/>
    <w:rsid w:val="00980661"/>
    <w:rsid w:val="0098093B"/>
    <w:rsid w:val="0098733F"/>
    <w:rsid w:val="009876D4"/>
    <w:rsid w:val="009914A5"/>
    <w:rsid w:val="0099548E"/>
    <w:rsid w:val="00995934"/>
    <w:rsid w:val="00996456"/>
    <w:rsid w:val="00996A12"/>
    <w:rsid w:val="0099768D"/>
    <w:rsid w:val="00997B0F"/>
    <w:rsid w:val="009A0CC3"/>
    <w:rsid w:val="009A1368"/>
    <w:rsid w:val="009A1CAD"/>
    <w:rsid w:val="009A3440"/>
    <w:rsid w:val="009A5832"/>
    <w:rsid w:val="009A6838"/>
    <w:rsid w:val="009B0B61"/>
    <w:rsid w:val="009B24B5"/>
    <w:rsid w:val="009B4109"/>
    <w:rsid w:val="009B4EBC"/>
    <w:rsid w:val="009B5ABB"/>
    <w:rsid w:val="009B73CE"/>
    <w:rsid w:val="009C2461"/>
    <w:rsid w:val="009C30AD"/>
    <w:rsid w:val="009C4E9F"/>
    <w:rsid w:val="009C5A15"/>
    <w:rsid w:val="009C6FE2"/>
    <w:rsid w:val="009C7674"/>
    <w:rsid w:val="009D004A"/>
    <w:rsid w:val="009D4B66"/>
    <w:rsid w:val="009D5880"/>
    <w:rsid w:val="009E1FD4"/>
    <w:rsid w:val="009E3B07"/>
    <w:rsid w:val="009E51D1"/>
    <w:rsid w:val="009E5531"/>
    <w:rsid w:val="009F171E"/>
    <w:rsid w:val="009F3D2F"/>
    <w:rsid w:val="009F7052"/>
    <w:rsid w:val="00A024FA"/>
    <w:rsid w:val="00A02668"/>
    <w:rsid w:val="00A02801"/>
    <w:rsid w:val="00A04568"/>
    <w:rsid w:val="00A066C1"/>
    <w:rsid w:val="00A06A39"/>
    <w:rsid w:val="00A07F58"/>
    <w:rsid w:val="00A131CB"/>
    <w:rsid w:val="00A14847"/>
    <w:rsid w:val="00A16D6D"/>
    <w:rsid w:val="00A21383"/>
    <w:rsid w:val="00A2199F"/>
    <w:rsid w:val="00A21B31"/>
    <w:rsid w:val="00A2360E"/>
    <w:rsid w:val="00A26E0C"/>
    <w:rsid w:val="00A2779B"/>
    <w:rsid w:val="00A309C5"/>
    <w:rsid w:val="00A32FCB"/>
    <w:rsid w:val="00A33D5E"/>
    <w:rsid w:val="00A34C25"/>
    <w:rsid w:val="00A3507D"/>
    <w:rsid w:val="00A3717A"/>
    <w:rsid w:val="00A4088C"/>
    <w:rsid w:val="00A41A48"/>
    <w:rsid w:val="00A4456B"/>
    <w:rsid w:val="00A448D4"/>
    <w:rsid w:val="00A452E0"/>
    <w:rsid w:val="00A506DF"/>
    <w:rsid w:val="00A51EA5"/>
    <w:rsid w:val="00A53742"/>
    <w:rsid w:val="00A54B76"/>
    <w:rsid w:val="00A557A1"/>
    <w:rsid w:val="00A60182"/>
    <w:rsid w:val="00A63059"/>
    <w:rsid w:val="00A63AE3"/>
    <w:rsid w:val="00A651A4"/>
    <w:rsid w:val="00A71361"/>
    <w:rsid w:val="00A746E2"/>
    <w:rsid w:val="00A81FF2"/>
    <w:rsid w:val="00A83904"/>
    <w:rsid w:val="00A9028C"/>
    <w:rsid w:val="00A90A79"/>
    <w:rsid w:val="00A96B30"/>
    <w:rsid w:val="00A97FAD"/>
    <w:rsid w:val="00AA3235"/>
    <w:rsid w:val="00AA442D"/>
    <w:rsid w:val="00AA59B5"/>
    <w:rsid w:val="00AA75D1"/>
    <w:rsid w:val="00AA7777"/>
    <w:rsid w:val="00AA7B84"/>
    <w:rsid w:val="00AB5E87"/>
    <w:rsid w:val="00AC0B4C"/>
    <w:rsid w:val="00AC1164"/>
    <w:rsid w:val="00AC2296"/>
    <w:rsid w:val="00AC2754"/>
    <w:rsid w:val="00AC48B0"/>
    <w:rsid w:val="00AC4ACD"/>
    <w:rsid w:val="00AC5DFB"/>
    <w:rsid w:val="00AD0CCB"/>
    <w:rsid w:val="00AD13DC"/>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24B9"/>
    <w:rsid w:val="00B07218"/>
    <w:rsid w:val="00B077FA"/>
    <w:rsid w:val="00B127D7"/>
    <w:rsid w:val="00B13B0C"/>
    <w:rsid w:val="00B14408"/>
    <w:rsid w:val="00B1453A"/>
    <w:rsid w:val="00B14D0F"/>
    <w:rsid w:val="00B20F82"/>
    <w:rsid w:val="00B229B5"/>
    <w:rsid w:val="00B25BD5"/>
    <w:rsid w:val="00B32447"/>
    <w:rsid w:val="00B32F08"/>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4FA3"/>
    <w:rsid w:val="00B66810"/>
    <w:rsid w:val="00B67804"/>
    <w:rsid w:val="00B72BE3"/>
    <w:rsid w:val="00B73954"/>
    <w:rsid w:val="00B73B80"/>
    <w:rsid w:val="00B770C7"/>
    <w:rsid w:val="00B80F26"/>
    <w:rsid w:val="00B822BD"/>
    <w:rsid w:val="00B842F4"/>
    <w:rsid w:val="00B91A7B"/>
    <w:rsid w:val="00B929DD"/>
    <w:rsid w:val="00B93AF6"/>
    <w:rsid w:val="00B95405"/>
    <w:rsid w:val="00B963F1"/>
    <w:rsid w:val="00BA020A"/>
    <w:rsid w:val="00BA4505"/>
    <w:rsid w:val="00BB025A"/>
    <w:rsid w:val="00BB02A4"/>
    <w:rsid w:val="00BB1270"/>
    <w:rsid w:val="00BB1E44"/>
    <w:rsid w:val="00BB5267"/>
    <w:rsid w:val="00BB52B8"/>
    <w:rsid w:val="00BB59D8"/>
    <w:rsid w:val="00BB7E69"/>
    <w:rsid w:val="00BC0E51"/>
    <w:rsid w:val="00BC3C1F"/>
    <w:rsid w:val="00BC7CE7"/>
    <w:rsid w:val="00BD295E"/>
    <w:rsid w:val="00BD4664"/>
    <w:rsid w:val="00BD5009"/>
    <w:rsid w:val="00BE1193"/>
    <w:rsid w:val="00BE28AB"/>
    <w:rsid w:val="00BF4849"/>
    <w:rsid w:val="00BF4EA7"/>
    <w:rsid w:val="00BF56CB"/>
    <w:rsid w:val="00BF6525"/>
    <w:rsid w:val="00C00EDB"/>
    <w:rsid w:val="00C0183E"/>
    <w:rsid w:val="00C02863"/>
    <w:rsid w:val="00C0383A"/>
    <w:rsid w:val="00C067FF"/>
    <w:rsid w:val="00C07A53"/>
    <w:rsid w:val="00C12862"/>
    <w:rsid w:val="00C132CA"/>
    <w:rsid w:val="00C13D28"/>
    <w:rsid w:val="00C14585"/>
    <w:rsid w:val="00C149F5"/>
    <w:rsid w:val="00C165A0"/>
    <w:rsid w:val="00C216CE"/>
    <w:rsid w:val="00C2184F"/>
    <w:rsid w:val="00C22A78"/>
    <w:rsid w:val="00C23C7E"/>
    <w:rsid w:val="00C246C5"/>
    <w:rsid w:val="00C25243"/>
    <w:rsid w:val="00C25A82"/>
    <w:rsid w:val="00C30A2A"/>
    <w:rsid w:val="00C33993"/>
    <w:rsid w:val="00C36F72"/>
    <w:rsid w:val="00C4069E"/>
    <w:rsid w:val="00C41ADC"/>
    <w:rsid w:val="00C44149"/>
    <w:rsid w:val="00C44410"/>
    <w:rsid w:val="00C44A15"/>
    <w:rsid w:val="00C4630A"/>
    <w:rsid w:val="00C46B9C"/>
    <w:rsid w:val="00C5212C"/>
    <w:rsid w:val="00C523F0"/>
    <w:rsid w:val="00C526D2"/>
    <w:rsid w:val="00C53A91"/>
    <w:rsid w:val="00C5794E"/>
    <w:rsid w:val="00C60968"/>
    <w:rsid w:val="00C63D39"/>
    <w:rsid w:val="00C63EDD"/>
    <w:rsid w:val="00C65B36"/>
    <w:rsid w:val="00C65F1F"/>
    <w:rsid w:val="00C7292E"/>
    <w:rsid w:val="00C73027"/>
    <w:rsid w:val="00C74E88"/>
    <w:rsid w:val="00C80924"/>
    <w:rsid w:val="00C8286B"/>
    <w:rsid w:val="00C82DB7"/>
    <w:rsid w:val="00C947F8"/>
    <w:rsid w:val="00C9515F"/>
    <w:rsid w:val="00C963C5"/>
    <w:rsid w:val="00CA030C"/>
    <w:rsid w:val="00CA1F41"/>
    <w:rsid w:val="00CA32EE"/>
    <w:rsid w:val="00CA5771"/>
    <w:rsid w:val="00CA6A1A"/>
    <w:rsid w:val="00CB31B8"/>
    <w:rsid w:val="00CB5383"/>
    <w:rsid w:val="00CC06AD"/>
    <w:rsid w:val="00CC1E75"/>
    <w:rsid w:val="00CC260B"/>
    <w:rsid w:val="00CC2E0E"/>
    <w:rsid w:val="00CC31E0"/>
    <w:rsid w:val="00CC361C"/>
    <w:rsid w:val="00CC474B"/>
    <w:rsid w:val="00CC5B7D"/>
    <w:rsid w:val="00CC658C"/>
    <w:rsid w:val="00CC67BF"/>
    <w:rsid w:val="00CD0843"/>
    <w:rsid w:val="00CD4E31"/>
    <w:rsid w:val="00CD5A78"/>
    <w:rsid w:val="00CD7345"/>
    <w:rsid w:val="00CE165C"/>
    <w:rsid w:val="00CE372E"/>
    <w:rsid w:val="00CF0A1B"/>
    <w:rsid w:val="00CF19F6"/>
    <w:rsid w:val="00CF2F4F"/>
    <w:rsid w:val="00CF536D"/>
    <w:rsid w:val="00CF5772"/>
    <w:rsid w:val="00D02E9D"/>
    <w:rsid w:val="00D05EF3"/>
    <w:rsid w:val="00D06035"/>
    <w:rsid w:val="00D10CB8"/>
    <w:rsid w:val="00D12806"/>
    <w:rsid w:val="00D12D44"/>
    <w:rsid w:val="00D15018"/>
    <w:rsid w:val="00D158AC"/>
    <w:rsid w:val="00D15A5B"/>
    <w:rsid w:val="00D1694C"/>
    <w:rsid w:val="00D20F5E"/>
    <w:rsid w:val="00D23B76"/>
    <w:rsid w:val="00D24B4A"/>
    <w:rsid w:val="00D379A3"/>
    <w:rsid w:val="00D40289"/>
    <w:rsid w:val="00D40553"/>
    <w:rsid w:val="00D45FF3"/>
    <w:rsid w:val="00D469C4"/>
    <w:rsid w:val="00D512CF"/>
    <w:rsid w:val="00D528B9"/>
    <w:rsid w:val="00D53186"/>
    <w:rsid w:val="00D5487D"/>
    <w:rsid w:val="00D57B8F"/>
    <w:rsid w:val="00D60140"/>
    <w:rsid w:val="00D6024A"/>
    <w:rsid w:val="00D608B5"/>
    <w:rsid w:val="00D64739"/>
    <w:rsid w:val="00D71F99"/>
    <w:rsid w:val="00D734DF"/>
    <w:rsid w:val="00D73CA4"/>
    <w:rsid w:val="00D73D71"/>
    <w:rsid w:val="00D74396"/>
    <w:rsid w:val="00D80284"/>
    <w:rsid w:val="00D81F71"/>
    <w:rsid w:val="00D8642D"/>
    <w:rsid w:val="00D90A5E"/>
    <w:rsid w:val="00D91A68"/>
    <w:rsid w:val="00D9324C"/>
    <w:rsid w:val="00D95278"/>
    <w:rsid w:val="00D95A68"/>
    <w:rsid w:val="00DA17C7"/>
    <w:rsid w:val="00DA29EF"/>
    <w:rsid w:val="00DA6A9A"/>
    <w:rsid w:val="00DA7E94"/>
    <w:rsid w:val="00DB1EFD"/>
    <w:rsid w:val="00DB2347"/>
    <w:rsid w:val="00DB3EAF"/>
    <w:rsid w:val="00DB46C6"/>
    <w:rsid w:val="00DB6FFA"/>
    <w:rsid w:val="00DC3203"/>
    <w:rsid w:val="00DC3C99"/>
    <w:rsid w:val="00DC52F5"/>
    <w:rsid w:val="00DC5FD0"/>
    <w:rsid w:val="00DC78FB"/>
    <w:rsid w:val="00DD0354"/>
    <w:rsid w:val="00DD27D7"/>
    <w:rsid w:val="00DD458C"/>
    <w:rsid w:val="00DD72E9"/>
    <w:rsid w:val="00DD7605"/>
    <w:rsid w:val="00DE2020"/>
    <w:rsid w:val="00DE3476"/>
    <w:rsid w:val="00DE54A5"/>
    <w:rsid w:val="00DE7BEA"/>
    <w:rsid w:val="00DF5B84"/>
    <w:rsid w:val="00DF6D5B"/>
    <w:rsid w:val="00DF771B"/>
    <w:rsid w:val="00DF7EE2"/>
    <w:rsid w:val="00E01BAA"/>
    <w:rsid w:val="00E0282A"/>
    <w:rsid w:val="00E02F9B"/>
    <w:rsid w:val="00E0721B"/>
    <w:rsid w:val="00E07E14"/>
    <w:rsid w:val="00E14F94"/>
    <w:rsid w:val="00E17336"/>
    <w:rsid w:val="00E17D15"/>
    <w:rsid w:val="00E22B95"/>
    <w:rsid w:val="00E30331"/>
    <w:rsid w:val="00E30BB8"/>
    <w:rsid w:val="00E31F9C"/>
    <w:rsid w:val="00E40488"/>
    <w:rsid w:val="00E50367"/>
    <w:rsid w:val="00E50AFA"/>
    <w:rsid w:val="00E51ABA"/>
    <w:rsid w:val="00E524CB"/>
    <w:rsid w:val="00E65456"/>
    <w:rsid w:val="00E65A91"/>
    <w:rsid w:val="00E66188"/>
    <w:rsid w:val="00E664FB"/>
    <w:rsid w:val="00E672F0"/>
    <w:rsid w:val="00E70373"/>
    <w:rsid w:val="00E72E40"/>
    <w:rsid w:val="00E73665"/>
    <w:rsid w:val="00E73999"/>
    <w:rsid w:val="00E73BDC"/>
    <w:rsid w:val="00E73E9E"/>
    <w:rsid w:val="00E81660"/>
    <w:rsid w:val="00E8251D"/>
    <w:rsid w:val="00E854FE"/>
    <w:rsid w:val="00E906CC"/>
    <w:rsid w:val="00E939A0"/>
    <w:rsid w:val="00E97117"/>
    <w:rsid w:val="00E97E4E"/>
    <w:rsid w:val="00EA1CC2"/>
    <w:rsid w:val="00EA2D76"/>
    <w:rsid w:val="00EA4644"/>
    <w:rsid w:val="00EA758A"/>
    <w:rsid w:val="00EA776B"/>
    <w:rsid w:val="00EB096F"/>
    <w:rsid w:val="00EB199F"/>
    <w:rsid w:val="00EB21A4"/>
    <w:rsid w:val="00EB27C4"/>
    <w:rsid w:val="00EB5387"/>
    <w:rsid w:val="00EB5C10"/>
    <w:rsid w:val="00EB7322"/>
    <w:rsid w:val="00EC0FE9"/>
    <w:rsid w:val="00EC198B"/>
    <w:rsid w:val="00EC19CC"/>
    <w:rsid w:val="00EC3D04"/>
    <w:rsid w:val="00EC426D"/>
    <w:rsid w:val="00EC571B"/>
    <w:rsid w:val="00EC57D7"/>
    <w:rsid w:val="00EC5BA2"/>
    <w:rsid w:val="00EC6385"/>
    <w:rsid w:val="00EC7E27"/>
    <w:rsid w:val="00ED1812"/>
    <w:rsid w:val="00ED19FC"/>
    <w:rsid w:val="00ED1DE9"/>
    <w:rsid w:val="00ED23D4"/>
    <w:rsid w:val="00ED33A4"/>
    <w:rsid w:val="00ED5E0B"/>
    <w:rsid w:val="00EE37B6"/>
    <w:rsid w:val="00EE71FB"/>
    <w:rsid w:val="00EF0F45"/>
    <w:rsid w:val="00EF5C12"/>
    <w:rsid w:val="00EF7463"/>
    <w:rsid w:val="00EF7971"/>
    <w:rsid w:val="00F002EF"/>
    <w:rsid w:val="00F01EE9"/>
    <w:rsid w:val="00F04900"/>
    <w:rsid w:val="00F04F1D"/>
    <w:rsid w:val="00F065A4"/>
    <w:rsid w:val="00F126B9"/>
    <w:rsid w:val="00F12715"/>
    <w:rsid w:val="00F144D5"/>
    <w:rsid w:val="00F146F0"/>
    <w:rsid w:val="00F15039"/>
    <w:rsid w:val="00F20FF3"/>
    <w:rsid w:val="00F2190B"/>
    <w:rsid w:val="00F228B5"/>
    <w:rsid w:val="00F228C1"/>
    <w:rsid w:val="00F2389C"/>
    <w:rsid w:val="00F25C67"/>
    <w:rsid w:val="00F27008"/>
    <w:rsid w:val="00F30DFF"/>
    <w:rsid w:val="00F32B80"/>
    <w:rsid w:val="00F340EB"/>
    <w:rsid w:val="00F35285"/>
    <w:rsid w:val="00F43B9D"/>
    <w:rsid w:val="00F44D5E"/>
    <w:rsid w:val="00F534E0"/>
    <w:rsid w:val="00F53A35"/>
    <w:rsid w:val="00F55A3D"/>
    <w:rsid w:val="00F56E13"/>
    <w:rsid w:val="00F5744B"/>
    <w:rsid w:val="00F61209"/>
    <w:rsid w:val="00F6259E"/>
    <w:rsid w:val="00F62968"/>
    <w:rsid w:val="00F65DD4"/>
    <w:rsid w:val="00F672B2"/>
    <w:rsid w:val="00F83973"/>
    <w:rsid w:val="00F87FA3"/>
    <w:rsid w:val="00F93D8C"/>
    <w:rsid w:val="00F97CC4"/>
    <w:rsid w:val="00FA3102"/>
    <w:rsid w:val="00FA48D4"/>
    <w:rsid w:val="00FA54FA"/>
    <w:rsid w:val="00FA6D39"/>
    <w:rsid w:val="00FA7211"/>
    <w:rsid w:val="00FB17B6"/>
    <w:rsid w:val="00FB227E"/>
    <w:rsid w:val="00FB3D61"/>
    <w:rsid w:val="00FB44CE"/>
    <w:rsid w:val="00FB5009"/>
    <w:rsid w:val="00FB76AB"/>
    <w:rsid w:val="00FB77E9"/>
    <w:rsid w:val="00FC4213"/>
    <w:rsid w:val="00FD03FE"/>
    <w:rsid w:val="00FD1198"/>
    <w:rsid w:val="00FD126E"/>
    <w:rsid w:val="00FD3C36"/>
    <w:rsid w:val="00FD4D81"/>
    <w:rsid w:val="00FD5989"/>
    <w:rsid w:val="00FD7498"/>
    <w:rsid w:val="00FD7FB3"/>
    <w:rsid w:val="00FE311C"/>
    <w:rsid w:val="00FE4713"/>
    <w:rsid w:val="00FE7D2C"/>
    <w:rsid w:val="00FF1F44"/>
    <w:rsid w:val="00FF225E"/>
    <w:rsid w:val="00FF672C"/>
    <w:rsid w:val="00FF6CE8"/>
    <w:rsid w:val="06975FDD"/>
    <w:rsid w:val="06D87D79"/>
    <w:rsid w:val="08F62644"/>
    <w:rsid w:val="0BBD151C"/>
    <w:rsid w:val="0C273780"/>
    <w:rsid w:val="0DB7190D"/>
    <w:rsid w:val="0EA4458C"/>
    <w:rsid w:val="12065CBF"/>
    <w:rsid w:val="126161D4"/>
    <w:rsid w:val="13CA3E07"/>
    <w:rsid w:val="147C4E6C"/>
    <w:rsid w:val="159D0F0D"/>
    <w:rsid w:val="16AE28C5"/>
    <w:rsid w:val="173C5849"/>
    <w:rsid w:val="1809187D"/>
    <w:rsid w:val="18D3114A"/>
    <w:rsid w:val="1BC90FA3"/>
    <w:rsid w:val="1ED16D1D"/>
    <w:rsid w:val="1EEC2DCD"/>
    <w:rsid w:val="200E1FA8"/>
    <w:rsid w:val="20C17844"/>
    <w:rsid w:val="22B53180"/>
    <w:rsid w:val="22CF2CE6"/>
    <w:rsid w:val="23672FA4"/>
    <w:rsid w:val="240B22BC"/>
    <w:rsid w:val="24352352"/>
    <w:rsid w:val="243B61F5"/>
    <w:rsid w:val="246127B3"/>
    <w:rsid w:val="24A835B0"/>
    <w:rsid w:val="25330E2E"/>
    <w:rsid w:val="259B76C0"/>
    <w:rsid w:val="2665260C"/>
    <w:rsid w:val="272447A2"/>
    <w:rsid w:val="2732478D"/>
    <w:rsid w:val="27483067"/>
    <w:rsid w:val="27B841B7"/>
    <w:rsid w:val="287A0ED9"/>
    <w:rsid w:val="28EE0571"/>
    <w:rsid w:val="2BBD767E"/>
    <w:rsid w:val="2BC10252"/>
    <w:rsid w:val="2C0525C8"/>
    <w:rsid w:val="2C734DFA"/>
    <w:rsid w:val="2C8D7580"/>
    <w:rsid w:val="2DA354EC"/>
    <w:rsid w:val="2F05381D"/>
    <w:rsid w:val="30CC6CA8"/>
    <w:rsid w:val="31BE1943"/>
    <w:rsid w:val="330C524D"/>
    <w:rsid w:val="34C866FA"/>
    <w:rsid w:val="35592615"/>
    <w:rsid w:val="35941880"/>
    <w:rsid w:val="36F5072F"/>
    <w:rsid w:val="38AE6903"/>
    <w:rsid w:val="390B6DE3"/>
    <w:rsid w:val="3A833317"/>
    <w:rsid w:val="3B781E4C"/>
    <w:rsid w:val="3E683177"/>
    <w:rsid w:val="40AB6C5D"/>
    <w:rsid w:val="439D2607"/>
    <w:rsid w:val="46970EDE"/>
    <w:rsid w:val="472F5BD9"/>
    <w:rsid w:val="47AD0887"/>
    <w:rsid w:val="490873D6"/>
    <w:rsid w:val="49470F8A"/>
    <w:rsid w:val="495D4B69"/>
    <w:rsid w:val="4961356F"/>
    <w:rsid w:val="4A845C50"/>
    <w:rsid w:val="4AD32EF3"/>
    <w:rsid w:val="4BE107F0"/>
    <w:rsid w:val="4BEB02E1"/>
    <w:rsid w:val="4C130A49"/>
    <w:rsid w:val="4D317EFB"/>
    <w:rsid w:val="501C653F"/>
    <w:rsid w:val="51505F79"/>
    <w:rsid w:val="519C08F1"/>
    <w:rsid w:val="51C8534D"/>
    <w:rsid w:val="53015432"/>
    <w:rsid w:val="53C61698"/>
    <w:rsid w:val="55594E94"/>
    <w:rsid w:val="556A3FF8"/>
    <w:rsid w:val="572A0ECA"/>
    <w:rsid w:val="586234D8"/>
    <w:rsid w:val="5908689F"/>
    <w:rsid w:val="59750CC5"/>
    <w:rsid w:val="598C1076"/>
    <w:rsid w:val="5A4717AA"/>
    <w:rsid w:val="5BE537D4"/>
    <w:rsid w:val="5BEE6C5A"/>
    <w:rsid w:val="5C322BA5"/>
    <w:rsid w:val="5DB661A6"/>
    <w:rsid w:val="611B04DE"/>
    <w:rsid w:val="62FE5A27"/>
    <w:rsid w:val="6314191D"/>
    <w:rsid w:val="64345B34"/>
    <w:rsid w:val="66237024"/>
    <w:rsid w:val="668511A2"/>
    <w:rsid w:val="66C07FDE"/>
    <w:rsid w:val="6802588C"/>
    <w:rsid w:val="69720B7E"/>
    <w:rsid w:val="69AF694B"/>
    <w:rsid w:val="6B225A2E"/>
    <w:rsid w:val="6BDF7858"/>
    <w:rsid w:val="6C5027EE"/>
    <w:rsid w:val="6CD25EF2"/>
    <w:rsid w:val="6CE04AAC"/>
    <w:rsid w:val="6DF2413B"/>
    <w:rsid w:val="6F830903"/>
    <w:rsid w:val="6F9B5FA9"/>
    <w:rsid w:val="72740C55"/>
    <w:rsid w:val="729A00FA"/>
    <w:rsid w:val="737B0E5E"/>
    <w:rsid w:val="73DC14A1"/>
    <w:rsid w:val="741B476A"/>
    <w:rsid w:val="74886ADD"/>
    <w:rsid w:val="75A26715"/>
    <w:rsid w:val="760011A7"/>
    <w:rsid w:val="789F3D42"/>
    <w:rsid w:val="79063A1D"/>
    <w:rsid w:val="79343FBD"/>
    <w:rsid w:val="79F205CB"/>
    <w:rsid w:val="7B0C7F05"/>
    <w:rsid w:val="7C075B51"/>
    <w:rsid w:val="7C1B2695"/>
    <w:rsid w:val="7C214BB4"/>
    <w:rsid w:val="7D08162E"/>
    <w:rsid w:val="7D722401"/>
    <w:rsid w:val="7DB369F0"/>
    <w:rsid w:val="7E82548A"/>
    <w:rsid w:val="7F9A413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unhideWhenUsed="0" w:uiPriority="0" w:semiHidden="0" w:name="heading 5"/>
    <w:lsdException w:unhideWhenUsed="0" w:uiPriority="0" w:semiHidden="0" w:name="heading 6"/>
    <w:lsdException w:uiPriority="0" w:name="heading 7"/>
    <w:lsdException w:uiPriority="0" w:name="heading 8"/>
    <w:lsdException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0" w:semiHidden="0" w:name="footer"/>
    <w:lsdException w:uiPriority="0" w:name="index heading"/>
    <w:lsdException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unhideWhenUsed="0" w:uiPriority="0" w:semiHidden="0" w:name="Strong"/>
    <w:lsdException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abs>
        <w:tab w:val="center" w:pos="4253"/>
        <w:tab w:val="right" w:pos="8222"/>
      </w:tabs>
      <w:ind w:left="57" w:right="57"/>
    </w:pPr>
    <w:rPr>
      <w:rFonts w:ascii="Times New Roman" w:hAnsi="Times New Roman" w:eastAsia="Times New Roman" w:cs="Times New Roman"/>
      <w:szCs w:val="24"/>
      <w:lang w:val="en-ZA" w:eastAsia="en-GB" w:bidi="ar-SA"/>
    </w:rPr>
  </w:style>
  <w:style w:type="paragraph" w:styleId="2">
    <w:name w:val="heading 1"/>
    <w:basedOn w:val="1"/>
    <w:next w:val="3"/>
    <w:link w:val="39"/>
    <w:qFormat/>
    <w:uiPriority w:val="9"/>
    <w:pPr>
      <w:widowControl w:val="0"/>
      <w:numPr>
        <w:ilvl w:val="0"/>
        <w:numId w:val="1"/>
      </w:numPr>
      <w:tabs>
        <w:tab w:val="left" w:pos="355"/>
      </w:tabs>
      <w:autoSpaceDE w:val="0"/>
      <w:autoSpaceDN w:val="0"/>
      <w:spacing w:before="280" w:line="225" w:lineRule="exact"/>
      <w:ind w:left="358" w:hanging="301"/>
      <w:jc w:val="both"/>
      <w:outlineLvl w:val="0"/>
    </w:pPr>
    <w:rPr>
      <w:b/>
      <w:bCs/>
      <w:spacing w:val="-2"/>
      <w:szCs w:val="20"/>
      <w:lang w:val="en-US" w:eastAsia="en-US"/>
    </w:rPr>
  </w:style>
  <w:style w:type="paragraph" w:styleId="6">
    <w:name w:val="heading 2"/>
    <w:basedOn w:val="1"/>
    <w:next w:val="3"/>
    <w:link w:val="38"/>
    <w:qFormat/>
    <w:uiPriority w:val="9"/>
    <w:pPr>
      <w:numPr>
        <w:ilvl w:val="1"/>
        <w:numId w:val="1"/>
      </w:numPr>
      <w:tabs>
        <w:tab w:val="left" w:pos="505"/>
      </w:tabs>
      <w:autoSpaceDE w:val="0"/>
      <w:autoSpaceDN w:val="0"/>
      <w:spacing w:before="280" w:line="225" w:lineRule="exact"/>
      <w:ind w:hanging="448"/>
      <w:jc w:val="both"/>
      <w:outlineLvl w:val="1"/>
    </w:pPr>
    <w:rPr>
      <w:i/>
      <w:spacing w:val="-4"/>
      <w:szCs w:val="22"/>
      <w:lang w:val="en-US" w:eastAsia="en-US"/>
    </w:rPr>
  </w:style>
  <w:style w:type="paragraph" w:styleId="7">
    <w:name w:val="heading 3"/>
    <w:basedOn w:val="1"/>
    <w:next w:val="3"/>
    <w:link w:val="36"/>
    <w:qFormat/>
    <w:uiPriority w:val="9"/>
    <w:pPr>
      <w:widowControl w:val="0"/>
      <w:numPr>
        <w:ilvl w:val="2"/>
        <w:numId w:val="1"/>
      </w:numPr>
      <w:tabs>
        <w:tab w:val="left" w:pos="654"/>
      </w:tabs>
      <w:autoSpaceDE w:val="0"/>
      <w:autoSpaceDN w:val="0"/>
      <w:spacing w:before="73" w:line="228" w:lineRule="auto"/>
      <w:ind w:right="55" w:firstLine="0"/>
      <w:jc w:val="both"/>
      <w:outlineLvl w:val="2"/>
    </w:pPr>
    <w:rPr>
      <w:i/>
      <w:szCs w:val="22"/>
      <w:lang w:val="en-US" w:eastAsia="en-US"/>
    </w:rPr>
  </w:style>
  <w:style w:type="paragraph" w:styleId="8">
    <w:name w:val="heading 4"/>
    <w:basedOn w:val="3"/>
    <w:next w:val="4"/>
    <w:link w:val="42"/>
    <w:qFormat/>
    <w:uiPriority w:val="0"/>
    <w:pPr>
      <w:tabs>
        <w:tab w:val="center" w:pos="4253"/>
        <w:tab w:val="right" w:pos="8222"/>
      </w:tabs>
      <w:spacing w:before="360"/>
      <w:outlineLvl w:val="3"/>
    </w:pPr>
    <w:rPr>
      <w:bCs/>
      <w:szCs w:val="28"/>
    </w:rPr>
  </w:style>
  <w:style w:type="character" w:default="1" w:styleId="9">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3">
    <w:name w:val="Paragraph"/>
    <w:basedOn w:val="1"/>
    <w:next w:val="4"/>
    <w:qFormat/>
    <w:uiPriority w:val="0"/>
    <w:pPr>
      <w:spacing w:before="8" w:line="223" w:lineRule="auto"/>
      <w:ind w:right="55"/>
      <w:jc w:val="both"/>
    </w:pPr>
  </w:style>
  <w:style w:type="paragraph" w:customStyle="1" w:styleId="4">
    <w:name w:val="New paragraph"/>
    <w:basedOn w:val="5"/>
    <w:qFormat/>
    <w:uiPriority w:val="0"/>
    <w:pPr>
      <w:tabs>
        <w:tab w:val="center" w:pos="4253"/>
        <w:tab w:val="right" w:pos="8222"/>
      </w:tabs>
      <w:spacing w:before="221" w:line="226" w:lineRule="auto"/>
      <w:ind w:firstLine="301"/>
    </w:pPr>
  </w:style>
  <w:style w:type="paragraph" w:styleId="5">
    <w:name w:val="Body Text"/>
    <w:basedOn w:val="1"/>
    <w:link w:val="45"/>
    <w:qFormat/>
    <w:uiPriority w:val="1"/>
    <w:pPr>
      <w:autoSpaceDE w:val="0"/>
      <w:autoSpaceDN w:val="0"/>
      <w:spacing w:after="240"/>
      <w:jc w:val="both"/>
    </w:pPr>
    <w:rPr>
      <w:szCs w:val="20"/>
      <w:lang w:val="en-US" w:eastAsia="en-US"/>
    </w:rPr>
  </w:style>
  <w:style w:type="character" w:styleId="11">
    <w:name w:val="annotation reference"/>
    <w:basedOn w:val="9"/>
    <w:semiHidden/>
    <w:unhideWhenUsed/>
    <w:qFormat/>
    <w:uiPriority w:val="0"/>
    <w:rPr>
      <w:sz w:val="16"/>
      <w:szCs w:val="16"/>
    </w:rPr>
  </w:style>
  <w:style w:type="paragraph" w:styleId="12">
    <w:name w:val="annotation text"/>
    <w:basedOn w:val="1"/>
    <w:link w:val="43"/>
    <w:unhideWhenUsed/>
    <w:qFormat/>
    <w:uiPriority w:val="0"/>
    <w:rPr>
      <w:szCs w:val="20"/>
    </w:rPr>
  </w:style>
  <w:style w:type="paragraph" w:styleId="13">
    <w:name w:val="annotation subject"/>
    <w:basedOn w:val="12"/>
    <w:next w:val="12"/>
    <w:link w:val="47"/>
    <w:semiHidden/>
    <w:unhideWhenUsed/>
    <w:qFormat/>
    <w:uiPriority w:val="0"/>
    <w:rPr>
      <w:b/>
      <w:bCs/>
    </w:rPr>
  </w:style>
  <w:style w:type="character" w:styleId="14">
    <w:name w:val="FollowedHyperlink"/>
    <w:basedOn w:val="9"/>
    <w:semiHidden/>
    <w:unhideWhenUsed/>
    <w:qFormat/>
    <w:uiPriority w:val="0"/>
    <w:rPr>
      <w:color w:val="800080" w:themeColor="followedHyperlink"/>
      <w:u w:val="single"/>
      <w14:textFill>
        <w14:solidFill>
          <w14:schemeClr w14:val="folHlink"/>
        </w14:solidFill>
      </w14:textFill>
    </w:rPr>
  </w:style>
  <w:style w:type="paragraph" w:styleId="15">
    <w:name w:val="footer"/>
    <w:basedOn w:val="1"/>
    <w:link w:val="56"/>
    <w:unhideWhenUsed/>
    <w:qFormat/>
    <w:uiPriority w:val="0"/>
    <w:pPr>
      <w:tabs>
        <w:tab w:val="center" w:pos="4513"/>
        <w:tab w:val="right" w:pos="9026"/>
        <w:tab w:val="clear" w:pos="4253"/>
        <w:tab w:val="clear" w:pos="8222"/>
      </w:tabs>
    </w:pPr>
  </w:style>
  <w:style w:type="character" w:styleId="16">
    <w:name w:val="footnote reference"/>
    <w:basedOn w:val="9"/>
    <w:qFormat/>
    <w:uiPriority w:val="0"/>
    <w:rPr>
      <w:vertAlign w:val="superscript"/>
    </w:rPr>
  </w:style>
  <w:style w:type="paragraph" w:styleId="17">
    <w:name w:val="footnote text"/>
    <w:basedOn w:val="1"/>
    <w:link w:val="41"/>
    <w:autoRedefine/>
    <w:qFormat/>
    <w:uiPriority w:val="0"/>
    <w:pPr>
      <w:ind w:left="284" w:hanging="284"/>
    </w:pPr>
    <w:rPr>
      <w:sz w:val="22"/>
      <w:szCs w:val="20"/>
    </w:rPr>
  </w:style>
  <w:style w:type="paragraph" w:styleId="18">
    <w:name w:val="header"/>
    <w:basedOn w:val="1"/>
    <w:link w:val="55"/>
    <w:unhideWhenUsed/>
    <w:qFormat/>
    <w:uiPriority w:val="0"/>
    <w:pPr>
      <w:tabs>
        <w:tab w:val="center" w:pos="4513"/>
        <w:tab w:val="right" w:pos="9026"/>
        <w:tab w:val="clear" w:pos="4253"/>
        <w:tab w:val="clear" w:pos="8222"/>
      </w:tabs>
    </w:pPr>
  </w:style>
  <w:style w:type="character" w:styleId="19">
    <w:name w:val="Hyperlink"/>
    <w:unhideWhenUsed/>
    <w:qFormat/>
    <w:uiPriority w:val="0"/>
    <w:rPr>
      <w:rFonts w:ascii="Courier New" w:hAnsi="Courier New" w:cs="Courier New"/>
    </w:rPr>
  </w:style>
  <w:style w:type="paragraph" w:styleId="20">
    <w:name w:val="Normal Indent"/>
    <w:basedOn w:val="1"/>
    <w:qFormat/>
    <w:uiPriority w:val="0"/>
    <w:pPr>
      <w:ind w:left="720"/>
    </w:pPr>
  </w:style>
  <w:style w:type="paragraph" w:styleId="21">
    <w:name w:val="Title"/>
    <w:basedOn w:val="1"/>
    <w:next w:val="1"/>
    <w:link w:val="50"/>
    <w:qFormat/>
    <w:uiPriority w:val="10"/>
    <w:pPr>
      <w:widowControl w:val="0"/>
      <w:autoSpaceDE w:val="0"/>
      <w:autoSpaceDN w:val="0"/>
      <w:spacing w:before="1800" w:after="560"/>
      <w:jc w:val="both"/>
    </w:pPr>
    <w:rPr>
      <w:rFonts w:ascii="Arial"/>
      <w:b/>
      <w:sz w:val="36"/>
      <w:szCs w:val="22"/>
      <w:lang w:val="en-US" w:eastAsia="en-US"/>
    </w:rPr>
  </w:style>
  <w:style w:type="paragraph" w:customStyle="1" w:styleId="22">
    <w:name w:val="Article title"/>
    <w:basedOn w:val="21"/>
    <w:next w:val="1"/>
    <w:qFormat/>
    <w:uiPriority w:val="0"/>
  </w:style>
  <w:style w:type="paragraph" w:customStyle="1" w:styleId="23">
    <w:name w:val="Author names"/>
    <w:basedOn w:val="1"/>
    <w:next w:val="1"/>
    <w:qFormat/>
    <w:uiPriority w:val="0"/>
    <w:pPr>
      <w:spacing w:after="240"/>
      <w:ind w:left="1474"/>
    </w:pPr>
    <w:rPr>
      <w:b/>
      <w:sz w:val="22"/>
      <w:szCs w:val="22"/>
      <w:lang w:val="en-US" w:eastAsia="en-US"/>
    </w:rPr>
  </w:style>
  <w:style w:type="paragraph" w:customStyle="1" w:styleId="24">
    <w:name w:val="Affiliation"/>
    <w:basedOn w:val="5"/>
    <w:qFormat/>
    <w:uiPriority w:val="0"/>
    <w:pPr>
      <w:spacing w:after="0" w:line="225" w:lineRule="exact"/>
      <w:ind w:left="1474"/>
    </w:pPr>
  </w:style>
  <w:style w:type="paragraph" w:customStyle="1" w:styleId="25">
    <w:name w:val="Heading 3 with paragraph"/>
    <w:basedOn w:val="7"/>
    <w:link w:val="35"/>
    <w:qFormat/>
    <w:uiPriority w:val="0"/>
  </w:style>
  <w:style w:type="paragraph" w:customStyle="1" w:styleId="26">
    <w:name w:val="Abstract"/>
    <w:basedOn w:val="5"/>
    <w:next w:val="1"/>
    <w:qFormat/>
    <w:uiPriority w:val="0"/>
    <w:pPr>
      <w:spacing w:before="68" w:after="800" w:line="228" w:lineRule="auto"/>
      <w:ind w:left="1474"/>
    </w:pPr>
  </w:style>
  <w:style w:type="paragraph" w:customStyle="1" w:styleId="27">
    <w:name w:val="Correspondence details"/>
    <w:basedOn w:val="5"/>
    <w:qFormat/>
    <w:uiPriority w:val="0"/>
    <w:pPr>
      <w:spacing w:before="240" w:after="100" w:line="478" w:lineRule="auto"/>
      <w:ind w:left="1474" w:right="1474"/>
    </w:pPr>
  </w:style>
  <w:style w:type="paragraph" w:customStyle="1" w:styleId="28">
    <w:name w:val="Displayed quotation"/>
    <w:basedOn w:val="1"/>
    <w:qFormat/>
    <w:uiPriority w:val="0"/>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29">
    <w:name w:val="Numbered list"/>
    <w:basedOn w:val="3"/>
    <w:next w:val="3"/>
    <w:qFormat/>
    <w:uiPriority w:val="0"/>
    <w:pPr>
      <w:numPr>
        <w:ilvl w:val="0"/>
        <w:numId w:val="2"/>
      </w:numPr>
      <w:spacing w:after="240"/>
      <w:contextualSpacing/>
    </w:pPr>
  </w:style>
  <w:style w:type="paragraph" w:customStyle="1" w:styleId="30">
    <w:name w:val="Displayed equation"/>
    <w:basedOn w:val="1"/>
    <w:next w:val="3"/>
    <w:qFormat/>
    <w:uiPriority w:val="0"/>
    <w:pPr>
      <w:spacing w:before="240" w:after="240"/>
      <w:jc w:val="center"/>
    </w:pPr>
  </w:style>
  <w:style w:type="paragraph" w:customStyle="1" w:styleId="31">
    <w:name w:val="Acknowledgements"/>
    <w:basedOn w:val="1"/>
    <w:next w:val="1"/>
    <w:qFormat/>
    <w:uiPriority w:val="0"/>
    <w:pPr>
      <w:spacing w:before="120" w:line="360" w:lineRule="auto"/>
    </w:pPr>
    <w:rPr>
      <w:sz w:val="22"/>
    </w:rPr>
  </w:style>
  <w:style w:type="paragraph" w:customStyle="1" w:styleId="32">
    <w:name w:val="Table title"/>
    <w:basedOn w:val="5"/>
    <w:next w:val="1"/>
    <w:qFormat/>
    <w:uiPriority w:val="0"/>
    <w:pPr>
      <w:spacing w:before="166" w:line="249" w:lineRule="auto"/>
    </w:pPr>
  </w:style>
  <w:style w:type="paragraph" w:customStyle="1" w:styleId="33">
    <w:name w:val="Figure caption"/>
    <w:basedOn w:val="5"/>
    <w:next w:val="1"/>
    <w:qFormat/>
    <w:uiPriority w:val="0"/>
    <w:pPr>
      <w:spacing w:line="249" w:lineRule="auto"/>
      <w:ind w:right="55"/>
    </w:pPr>
  </w:style>
  <w:style w:type="paragraph" w:customStyle="1" w:styleId="34">
    <w:name w:val="Footnotes"/>
    <w:basedOn w:val="1"/>
    <w:qFormat/>
    <w:uiPriority w:val="0"/>
    <w:pPr>
      <w:widowControl w:val="0"/>
      <w:autoSpaceDE w:val="0"/>
      <w:autoSpaceDN w:val="0"/>
      <w:ind w:left="272"/>
    </w:pPr>
    <w:rPr>
      <w:sz w:val="16"/>
      <w:szCs w:val="22"/>
      <w:lang w:val="en-US" w:eastAsia="en-US"/>
    </w:rPr>
  </w:style>
  <w:style w:type="character" w:customStyle="1" w:styleId="35">
    <w:name w:val="Heading 3 with paragraph Char"/>
    <w:basedOn w:val="36"/>
    <w:link w:val="25"/>
    <w:qFormat/>
    <w:uiPriority w:val="0"/>
    <w:rPr>
      <w:szCs w:val="22"/>
      <w:lang w:val="en-US" w:eastAsia="en-US"/>
    </w:rPr>
  </w:style>
  <w:style w:type="character" w:customStyle="1" w:styleId="36">
    <w:name w:val="Heading 3 Char"/>
    <w:basedOn w:val="9"/>
    <w:link w:val="7"/>
    <w:qFormat/>
    <w:uiPriority w:val="9"/>
    <w:rPr>
      <w:i/>
      <w:szCs w:val="22"/>
      <w:lang w:val="en-US" w:eastAsia="en-US"/>
    </w:rPr>
  </w:style>
  <w:style w:type="paragraph" w:customStyle="1" w:styleId="37">
    <w:name w:val="References"/>
    <w:basedOn w:val="1"/>
    <w:qFormat/>
    <w:uiPriority w:val="0"/>
    <w:pPr>
      <w:widowControl w:val="0"/>
      <w:numPr>
        <w:ilvl w:val="0"/>
        <w:numId w:val="3"/>
      </w:numPr>
      <w:tabs>
        <w:tab w:val="left" w:pos="389"/>
      </w:tabs>
      <w:autoSpaceDE w:val="0"/>
      <w:autoSpaceDN w:val="0"/>
      <w:spacing w:before="142" w:line="228" w:lineRule="auto"/>
      <w:ind w:right="55"/>
      <w:jc w:val="both"/>
    </w:pPr>
    <w:rPr>
      <w:szCs w:val="22"/>
      <w:lang w:val="en-US" w:eastAsia="en-US"/>
    </w:rPr>
  </w:style>
  <w:style w:type="character" w:customStyle="1" w:styleId="38">
    <w:name w:val="Heading 2 Char"/>
    <w:basedOn w:val="9"/>
    <w:link w:val="6"/>
    <w:qFormat/>
    <w:uiPriority w:val="9"/>
    <w:rPr>
      <w:i/>
      <w:spacing w:val="-4"/>
      <w:szCs w:val="22"/>
      <w:lang w:val="en-US" w:eastAsia="en-US"/>
    </w:rPr>
  </w:style>
  <w:style w:type="character" w:customStyle="1" w:styleId="39">
    <w:name w:val="Heading 1 Char"/>
    <w:basedOn w:val="9"/>
    <w:link w:val="2"/>
    <w:qFormat/>
    <w:uiPriority w:val="9"/>
    <w:rPr>
      <w:b/>
      <w:bCs/>
      <w:spacing w:val="-2"/>
      <w:lang w:val="en-US" w:eastAsia="en-US"/>
    </w:rPr>
  </w:style>
  <w:style w:type="paragraph" w:customStyle="1" w:styleId="40">
    <w:name w:val="Bulleted list"/>
    <w:basedOn w:val="3"/>
    <w:next w:val="3"/>
    <w:qFormat/>
    <w:uiPriority w:val="0"/>
    <w:pPr>
      <w:numPr>
        <w:ilvl w:val="0"/>
        <w:numId w:val="4"/>
      </w:numPr>
      <w:spacing w:after="240"/>
      <w:contextualSpacing/>
    </w:pPr>
  </w:style>
  <w:style w:type="character" w:customStyle="1" w:styleId="41">
    <w:name w:val="Footnote Text Char"/>
    <w:basedOn w:val="9"/>
    <w:link w:val="17"/>
    <w:qFormat/>
    <w:uiPriority w:val="0"/>
    <w:rPr>
      <w:sz w:val="22"/>
    </w:rPr>
  </w:style>
  <w:style w:type="character" w:customStyle="1" w:styleId="42">
    <w:name w:val="Heading 4 Char"/>
    <w:basedOn w:val="9"/>
    <w:link w:val="8"/>
    <w:qFormat/>
    <w:uiPriority w:val="0"/>
    <w:rPr>
      <w:bCs/>
      <w:sz w:val="24"/>
      <w:szCs w:val="28"/>
    </w:rPr>
  </w:style>
  <w:style w:type="character" w:customStyle="1" w:styleId="43">
    <w:name w:val="Comment Text Char"/>
    <w:basedOn w:val="9"/>
    <w:link w:val="12"/>
    <w:qFormat/>
    <w:uiPriority w:val="0"/>
  </w:style>
  <w:style w:type="paragraph" w:customStyle="1" w:styleId="44">
    <w:name w:val="Heading 3 + Paragraph"/>
    <w:basedOn w:val="7"/>
    <w:next w:val="4"/>
    <w:qFormat/>
    <w:uiPriority w:val="0"/>
  </w:style>
  <w:style w:type="character" w:customStyle="1" w:styleId="45">
    <w:name w:val="Body Text Char"/>
    <w:basedOn w:val="9"/>
    <w:link w:val="5"/>
    <w:qFormat/>
    <w:uiPriority w:val="1"/>
    <w:rPr>
      <w:lang w:val="en-US" w:eastAsia="en-US"/>
    </w:rPr>
  </w:style>
  <w:style w:type="character" w:customStyle="1" w:styleId="46">
    <w:name w:val="Unresolved Mention"/>
    <w:basedOn w:val="9"/>
    <w:semiHidden/>
    <w:unhideWhenUsed/>
    <w:qFormat/>
    <w:uiPriority w:val="99"/>
    <w:rPr>
      <w:color w:val="605E5C"/>
      <w:shd w:val="clear" w:color="auto" w:fill="E1DFDD"/>
    </w:rPr>
  </w:style>
  <w:style w:type="character" w:customStyle="1" w:styleId="47">
    <w:name w:val="Comment Subject Char"/>
    <w:basedOn w:val="43"/>
    <w:link w:val="13"/>
    <w:semiHidden/>
    <w:qFormat/>
    <w:uiPriority w:val="0"/>
    <w:rPr>
      <w:b/>
      <w:bCs/>
    </w:rPr>
  </w:style>
  <w:style w:type="paragraph" w:customStyle="1" w:styleId="48">
    <w:name w:val="Indented quote"/>
    <w:basedOn w:val="5"/>
    <w:link w:val="49"/>
    <w:qFormat/>
    <w:uiPriority w:val="0"/>
    <w:pPr>
      <w:ind w:left="355"/>
    </w:pPr>
    <w:rPr>
      <w:sz w:val="18"/>
      <w:szCs w:val="18"/>
    </w:rPr>
  </w:style>
  <w:style w:type="character" w:customStyle="1" w:styleId="49">
    <w:name w:val="Indented quote Char"/>
    <w:basedOn w:val="45"/>
    <w:link w:val="48"/>
    <w:qFormat/>
    <w:uiPriority w:val="0"/>
    <w:rPr>
      <w:sz w:val="18"/>
      <w:szCs w:val="18"/>
      <w:lang w:val="en-US" w:eastAsia="en-US"/>
    </w:rPr>
  </w:style>
  <w:style w:type="character" w:customStyle="1" w:styleId="50">
    <w:name w:val="Title Char"/>
    <w:basedOn w:val="9"/>
    <w:link w:val="21"/>
    <w:qFormat/>
    <w:uiPriority w:val="10"/>
    <w:rPr>
      <w:rFonts w:ascii="Arial"/>
      <w:b/>
      <w:sz w:val="36"/>
      <w:szCs w:val="22"/>
      <w:lang w:val="en-US" w:eastAsia="en-US"/>
    </w:rPr>
  </w:style>
  <w:style w:type="paragraph" w:customStyle="1" w:styleId="51">
    <w:name w:val="EndNote Bibliography Title"/>
    <w:basedOn w:val="2"/>
    <w:link w:val="52"/>
    <w:qFormat/>
    <w:uiPriority w:val="0"/>
    <w:pPr>
      <w:numPr>
        <w:ilvl w:val="0"/>
        <w:numId w:val="0"/>
      </w:numPr>
      <w:ind w:left="358" w:hanging="301"/>
    </w:pPr>
  </w:style>
  <w:style w:type="character" w:customStyle="1" w:styleId="52">
    <w:name w:val="EndNote Bibliography Title Char"/>
    <w:basedOn w:val="45"/>
    <w:link w:val="51"/>
    <w:qFormat/>
    <w:uiPriority w:val="0"/>
    <w:rPr>
      <w:b/>
      <w:bCs/>
      <w:spacing w:val="-2"/>
      <w:lang w:val="en-US" w:eastAsia="en-US"/>
    </w:rPr>
  </w:style>
  <w:style w:type="paragraph" w:customStyle="1" w:styleId="53">
    <w:name w:val="EndNote Bibliography"/>
    <w:basedOn w:val="1"/>
    <w:link w:val="54"/>
    <w:qFormat/>
    <w:uiPriority w:val="0"/>
    <w:pPr>
      <w:spacing w:after="120"/>
      <w:jc w:val="both"/>
    </w:pPr>
    <w:rPr>
      <w:lang w:val="en-GB"/>
    </w:rPr>
  </w:style>
  <w:style w:type="character" w:customStyle="1" w:styleId="54">
    <w:name w:val="EndNote Bibliography Char"/>
    <w:basedOn w:val="45"/>
    <w:link w:val="53"/>
    <w:qFormat/>
    <w:uiPriority w:val="0"/>
    <w:rPr>
      <w:szCs w:val="24"/>
      <w:lang w:val="en-US" w:eastAsia="en-US"/>
    </w:rPr>
  </w:style>
  <w:style w:type="character" w:customStyle="1" w:styleId="55">
    <w:name w:val="Header Char"/>
    <w:basedOn w:val="9"/>
    <w:link w:val="18"/>
    <w:qFormat/>
    <w:uiPriority w:val="0"/>
    <w:rPr>
      <w:szCs w:val="24"/>
      <w:lang w:val="en-ZA"/>
    </w:rPr>
  </w:style>
  <w:style w:type="character" w:customStyle="1" w:styleId="56">
    <w:name w:val="Footer Char"/>
    <w:basedOn w:val="9"/>
    <w:link w:val="15"/>
    <w:qFormat/>
    <w:uiPriority w:val="0"/>
    <w:rPr>
      <w:szCs w:val="24"/>
      <w:lang w:val="en-ZA"/>
    </w:rPr>
  </w:style>
  <w:style w:type="character" w:styleId="57">
    <w:name w:val="Placeholder Text"/>
    <w:basedOn w:val="9"/>
    <w:semiHidden/>
    <w:qFormat/>
    <w:uiPriority w:val="99"/>
    <w:rPr>
      <w:color w:val="666666"/>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001-yourna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2914E-4C3A-4163-A6C9-332A453E9DC3}">
  <ds:schemaRefs/>
</ds:datastoreItem>
</file>

<file path=docProps/app.xml><?xml version="1.0" encoding="utf-8"?>
<Properties xmlns="http://schemas.openxmlformats.org/officeDocument/2006/extended-properties" xmlns:vt="http://schemas.openxmlformats.org/officeDocument/2006/docPropsVTypes">
  <Template>001-yourname.dotx</Template>
  <Pages>10</Pages>
  <Words>525</Words>
  <Characters>2755</Characters>
  <Lines>272</Lines>
  <Paragraphs>202</Paragraphs>
  <TotalTime>14</TotalTime>
  <ScaleCrop>false</ScaleCrop>
  <LinksUpToDate>false</LinksUpToDate>
  <CharactersWithSpaces>3271</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2025-07-24T17:41:00Z</dcterms:created>
  <dc:creator>user</dc:creator>
  <cp:lastModifiedBy>Jose Merlin</cp:lastModifiedBy>
  <dcterms:modified xsi:type="dcterms:W3CDTF">2025-07-30T20:12:41Z</dcterms:modified>
  <dc:title>TF_Template_Word_Windows_2016</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E28EE303464A4BFCBD8283ADE2FAAE42_11</vt:lpwstr>
  </property>
  <property fmtid="{D5CDD505-2E9C-101B-9397-08002B2CF9AE}" pid="3" name="KSOProductBuildVer">
    <vt:lpwstr>1033-12.2.0.21931</vt:lpwstr>
  </property>
</Properties>
</file>